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63F66252" w:rsidR="007316A7" w:rsidRPr="001E2BF2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9F580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F6FDA">
        <w:rPr>
          <w:rFonts w:ascii="Times New Roman" w:hAnsi="Times New Roman" w:cs="Times New Roman"/>
          <w:b/>
          <w:color w:val="000000"/>
          <w:sz w:val="24"/>
          <w:szCs w:val="24"/>
        </w:rPr>
        <w:t>78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1BB7F6D4" w:rsidR="007316A7" w:rsidRPr="00A15E2D" w:rsidRDefault="00EF6FD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686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6A52347C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7B552D">
        <w:t>С.А.</w:t>
      </w:r>
      <w:r w:rsidR="007B552D" w:rsidRPr="007B552D">
        <w:t xml:space="preserve"> </w:t>
      </w:r>
      <w:r w:rsidR="007B552D">
        <w:t>Шаршов</w:t>
      </w:r>
      <w:r w:rsidR="009E0582">
        <w:t>;</w:t>
      </w:r>
    </w:p>
    <w:p w14:paraId="04006B18" w14:textId="16BD6643" w:rsidR="009E0582" w:rsidRPr="005D6C6D" w:rsidRDefault="009E0582" w:rsidP="009E0582">
      <w:pPr>
        <w:widowControl w:val="0"/>
        <w:spacing w:afterLines="60" w:after="144"/>
        <w:jc w:val="both"/>
      </w:pPr>
      <w:r w:rsidRPr="005D6C6D">
        <w:t>-</w:t>
      </w:r>
      <w:r>
        <w:t xml:space="preserve"> </w:t>
      </w:r>
      <w:r w:rsidR="00EF6FDA">
        <w:t>К.А. Прохоров</w:t>
      </w:r>
      <w:r>
        <w:t>.</w:t>
      </w:r>
    </w:p>
    <w:p w14:paraId="5FD183C6" w14:textId="5558E8A0" w:rsidR="00CE232D" w:rsidRPr="005D6C6D" w:rsidRDefault="00CE232D" w:rsidP="00683139">
      <w:pPr>
        <w:widowControl w:val="0"/>
        <w:spacing w:afterLines="60" w:after="144"/>
        <w:jc w:val="both"/>
      </w:pP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5D6C6D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75777F26" w14:textId="01C4D082" w:rsidR="003E5F83" w:rsidRPr="003E5F83" w:rsidRDefault="003E5F83" w:rsidP="003E5F83">
      <w:pPr>
        <w:numPr>
          <w:ilvl w:val="0"/>
          <w:numId w:val="35"/>
        </w:numPr>
        <w:spacing w:after="200" w:line="276" w:lineRule="auto"/>
        <w:ind w:left="720"/>
        <w:contextualSpacing/>
        <w:jc w:val="both"/>
      </w:pPr>
      <w:r w:rsidRPr="003E5F83">
        <w:t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(51 шт.) и актов обследования для целей снятия с кадастрового учета (67</w:t>
      </w:r>
      <w:r w:rsidR="002C5A77">
        <w:t xml:space="preserve"> </w:t>
      </w:r>
      <w:r w:rsidRPr="003E5F83">
        <w:t xml:space="preserve">шт.) на объекты недвижимости, расположенные в </w:t>
      </w:r>
      <w:proofErr w:type="spellStart"/>
      <w:r w:rsidRPr="003E5F83">
        <w:t>Берёзовском</w:t>
      </w:r>
      <w:proofErr w:type="spellEnd"/>
      <w:r w:rsidRPr="003E5F83">
        <w:t>, Кондинском, Октябрьском и Советском районах ХМАО-Югры (Реестровый номер: 196-2017);</w:t>
      </w:r>
    </w:p>
    <w:p w14:paraId="0455B970" w14:textId="77777777" w:rsidR="003E5F83" w:rsidRPr="003E5F83" w:rsidRDefault="003E5F83" w:rsidP="003E5F83">
      <w:pPr>
        <w:tabs>
          <w:tab w:val="left" w:pos="426"/>
          <w:tab w:val="left" w:pos="993"/>
        </w:tabs>
        <w:spacing w:after="200" w:line="276" w:lineRule="auto"/>
        <w:ind w:left="709" w:hanging="425"/>
        <w:jc w:val="both"/>
        <w:rPr>
          <w:rFonts w:eastAsiaTheme="minorHAnsi"/>
          <w:lang w:eastAsia="en-US"/>
        </w:rPr>
      </w:pPr>
      <w:r w:rsidRPr="003E5F83">
        <w:rPr>
          <w:rFonts w:eastAsiaTheme="minorHAnsi"/>
          <w:lang w:eastAsia="en-US"/>
        </w:rPr>
        <w:tab/>
        <w:t>2.</w:t>
      </w:r>
      <w:r w:rsidRPr="003E5F83">
        <w:rPr>
          <w:rFonts w:eastAsiaTheme="minorHAnsi"/>
          <w:lang w:eastAsia="en-US"/>
        </w:rPr>
        <w:tab/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</w:r>
      <w:proofErr w:type="spellStart"/>
      <w:r w:rsidRPr="003E5F83">
        <w:rPr>
          <w:rFonts w:eastAsiaTheme="minorHAnsi"/>
          <w:lang w:eastAsia="en-US"/>
        </w:rPr>
        <w:t>Выкатная-Цингалы</w:t>
      </w:r>
      <w:proofErr w:type="spellEnd"/>
      <w:r w:rsidRPr="003E5F83">
        <w:rPr>
          <w:rFonts w:eastAsiaTheme="minorHAnsi"/>
          <w:lang w:eastAsia="en-US"/>
        </w:rPr>
        <w:t xml:space="preserve"> с ПС 35 кВ в поселке </w:t>
      </w:r>
      <w:proofErr w:type="spellStart"/>
      <w:r w:rsidRPr="003E5F83">
        <w:rPr>
          <w:rFonts w:eastAsiaTheme="minorHAnsi"/>
          <w:lang w:eastAsia="en-US"/>
        </w:rPr>
        <w:t>Цингалы</w:t>
      </w:r>
      <w:proofErr w:type="spellEnd"/>
      <w:r w:rsidRPr="003E5F83">
        <w:rPr>
          <w:rFonts w:eastAsiaTheme="minorHAnsi"/>
          <w:lang w:eastAsia="en-US"/>
        </w:rPr>
        <w:t xml:space="preserve"> (инв. № 000007647) (Реестровый номер: 198-2017).</w:t>
      </w:r>
    </w:p>
    <w:p w14:paraId="4E898DE3" w14:textId="77ED9861" w:rsidR="0036082E" w:rsidRDefault="0036082E" w:rsidP="00683139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  <w:r w:rsidRPr="005D6C6D">
        <w:rPr>
          <w:b/>
          <w:u w:val="single"/>
        </w:rPr>
        <w:t>По первому вопросу повестки дня:</w:t>
      </w:r>
    </w:p>
    <w:p w14:paraId="2A18394A" w14:textId="77777777" w:rsidR="007B552D" w:rsidRPr="005D6C6D" w:rsidRDefault="007B552D" w:rsidP="00683139">
      <w:pPr>
        <w:widowControl w:val="0"/>
        <w:tabs>
          <w:tab w:val="left" w:pos="993"/>
        </w:tabs>
        <w:ind w:firstLine="708"/>
        <w:jc w:val="both"/>
      </w:pPr>
    </w:p>
    <w:p w14:paraId="3CB437D6" w14:textId="51B75857" w:rsidR="008A12C9" w:rsidRDefault="00A4063C" w:rsidP="008A12C9">
      <w:pPr>
        <w:jc w:val="both"/>
      </w:pPr>
      <w:r w:rsidRPr="005D6C6D">
        <w:tab/>
      </w:r>
      <w:r w:rsidR="00282E9A" w:rsidRPr="00282E9A">
        <w:t>1.</w:t>
      </w:r>
      <w:r w:rsidR="00282E9A" w:rsidRPr="00282E9A">
        <w:tab/>
      </w:r>
      <w:r w:rsidR="008A12C9" w:rsidRPr="008A12C9">
        <w:t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(51 шт.) и актов обследования для целей снятия с кадастрового учета (67</w:t>
      </w:r>
      <w:r w:rsidR="002C5A77">
        <w:t xml:space="preserve"> </w:t>
      </w:r>
      <w:r w:rsidR="008A12C9" w:rsidRPr="008A12C9">
        <w:t xml:space="preserve">шт.) на объекты недвижимости, расположенные в </w:t>
      </w:r>
      <w:proofErr w:type="spellStart"/>
      <w:r w:rsidR="008A12C9" w:rsidRPr="008A12C9">
        <w:t>Берёзовском</w:t>
      </w:r>
      <w:proofErr w:type="spellEnd"/>
      <w:r w:rsidR="008A12C9" w:rsidRPr="008A12C9">
        <w:t>, Кондинском, Октябрьском и Советском районах ХМАО-Юг</w:t>
      </w:r>
      <w:r w:rsidR="008A12C9">
        <w:t>ры (Реестровый номер: 196-2017).</w:t>
      </w:r>
    </w:p>
    <w:p w14:paraId="0DA5F60F" w14:textId="77777777" w:rsidR="008A788B" w:rsidRDefault="008A788B" w:rsidP="008A12C9">
      <w:pPr>
        <w:jc w:val="both"/>
      </w:pPr>
    </w:p>
    <w:p w14:paraId="1DF6F19D" w14:textId="77777777" w:rsidR="00471711" w:rsidRDefault="00471711" w:rsidP="00471711">
      <w:pPr>
        <w:ind w:firstLine="708"/>
        <w:jc w:val="both"/>
      </w:pPr>
      <w:r w:rsidRPr="005D6C6D">
        <w:t>1.1. На от</w:t>
      </w:r>
      <w:r>
        <w:t>крытый запрос котировок, с учетом срока продления, подана 1 (одна) заяв</w:t>
      </w:r>
      <w:r w:rsidRPr="005D6C6D">
        <w:t>к</w:t>
      </w:r>
      <w:r>
        <w:t>а</w:t>
      </w:r>
      <w:r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471711" w:rsidRPr="005D6C6D" w14:paraId="1478DB9B" w14:textId="77777777" w:rsidTr="002E0343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E46F" w14:textId="77777777" w:rsidR="00471711" w:rsidRPr="005D6C6D" w:rsidRDefault="00471711" w:rsidP="002E0343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020B4C59" w14:textId="77777777" w:rsidR="00471711" w:rsidRPr="005D6C6D" w:rsidRDefault="00471711" w:rsidP="002E0343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9387" w14:textId="77777777" w:rsidR="00471711" w:rsidRPr="005D6C6D" w:rsidRDefault="00471711" w:rsidP="002E0343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4676D" w14:textId="77777777" w:rsidR="00471711" w:rsidRPr="005D6C6D" w:rsidRDefault="00471711" w:rsidP="002E0343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1970B913" w14:textId="77777777" w:rsidR="00471711" w:rsidRPr="005D6C6D" w:rsidRDefault="00471711" w:rsidP="002E0343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471711" w:rsidRPr="005D6C6D" w14:paraId="7A2E289A" w14:textId="77777777" w:rsidTr="002E0343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8AA5" w14:textId="77777777" w:rsidR="00471711" w:rsidRPr="005D6C6D" w:rsidRDefault="00471711" w:rsidP="002E0343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CC4C5" w14:textId="77777777" w:rsidR="00471711" w:rsidRPr="005D6C6D" w:rsidRDefault="00471711" w:rsidP="002E0343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CF0" w14:textId="77777777" w:rsidR="007B552D" w:rsidRPr="007B552D" w:rsidRDefault="007B552D" w:rsidP="007B552D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ООО «Межрегиональный центр кадастровых работ, землеустройства и оценки»,</w:t>
            </w:r>
          </w:p>
          <w:p w14:paraId="714188E8" w14:textId="382835AF" w:rsidR="00471711" w:rsidRPr="005D6C6D" w:rsidRDefault="007B552D" w:rsidP="007B552D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628007, ХМАО-Югра, г. Ханты-Мансийск, ул. Маяковского, 15-4</w:t>
            </w:r>
          </w:p>
        </w:tc>
      </w:tr>
    </w:tbl>
    <w:p w14:paraId="57D8A18B" w14:textId="77777777" w:rsidR="00471711" w:rsidRPr="00680A08" w:rsidRDefault="00471711" w:rsidP="00471711">
      <w:pPr>
        <w:spacing w:before="40" w:after="40"/>
        <w:ind w:right="-1" w:firstLine="708"/>
        <w:jc w:val="both"/>
      </w:pPr>
      <w:r>
        <w:t>1</w:t>
      </w:r>
      <w:r w:rsidRPr="00680A08">
        <w:t>.2. 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</w:t>
      </w:r>
      <w:r>
        <w:t>а</w:t>
      </w:r>
      <w:r w:rsidRPr="00680A08">
        <w:t xml:space="preserve"> в </w:t>
      </w:r>
      <w:r>
        <w:t>Листе</w:t>
      </w:r>
      <w:r w:rsidRPr="00680A08">
        <w:t xml:space="preserve"> регистрации заявок на участие в открытом запросе ценовых котировок.</w:t>
      </w:r>
    </w:p>
    <w:p w14:paraId="2CBA263E" w14:textId="77777777" w:rsidR="00471711" w:rsidRPr="00680A08" w:rsidRDefault="00471711" w:rsidP="00471711">
      <w:pPr>
        <w:spacing w:before="40" w:after="40"/>
        <w:ind w:right="-1" w:firstLine="708"/>
        <w:jc w:val="both"/>
      </w:pPr>
      <w:r>
        <w:lastRenderedPageBreak/>
        <w:t>1</w:t>
      </w:r>
      <w:r w:rsidRPr="00680A08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7C59DCB4" w14:textId="77777777" w:rsidR="00471711" w:rsidRPr="00680A08" w:rsidRDefault="00471711" w:rsidP="00471711">
      <w:pPr>
        <w:spacing w:before="40" w:after="40"/>
        <w:ind w:right="-1" w:firstLine="708"/>
        <w:jc w:val="both"/>
      </w:pPr>
      <w:r>
        <w:t>1</w:t>
      </w:r>
      <w:r w:rsidRPr="00680A08">
        <w:t xml:space="preserve">.4. По </w:t>
      </w:r>
      <w:r>
        <w:t>итогам рассмотрения котировочной заявки</w:t>
      </w:r>
      <w:r w:rsidRPr="00680A08">
        <w:t xml:space="preserve"> путем голосования приняты следующие решения:</w:t>
      </w:r>
    </w:p>
    <w:p w14:paraId="1E74F0D6" w14:textId="77777777" w:rsidR="00471711" w:rsidRPr="00680A08" w:rsidRDefault="00471711" w:rsidP="00471711">
      <w:pPr>
        <w:pStyle w:val="a4"/>
        <w:numPr>
          <w:ilvl w:val="2"/>
          <w:numId w:val="37"/>
        </w:numPr>
        <w:spacing w:before="40" w:after="40"/>
        <w:ind w:right="-1"/>
        <w:jc w:val="both"/>
        <w:rPr>
          <w:lang w:eastAsia="en-US"/>
        </w:rPr>
      </w:pPr>
      <w:r w:rsidRPr="00680A08">
        <w:rPr>
          <w:lang w:eastAsia="en-US"/>
        </w:rPr>
        <w:t>Решение о допуске к участию в запросе котировок следующих участников: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3041"/>
        <w:gridCol w:w="2423"/>
      </w:tblGrid>
      <w:tr w:rsidR="00471711" w:rsidRPr="00680A08" w14:paraId="7837B796" w14:textId="77777777" w:rsidTr="002E0343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747F692" w14:textId="77777777" w:rsidR="00471711" w:rsidRPr="00680A08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ECAF4AF" w14:textId="77777777" w:rsidR="00471711" w:rsidRPr="00680A08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B19DFDF" w14:textId="77777777" w:rsidR="00471711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ЗА</w:t>
            </w:r>
          </w:p>
          <w:p w14:paraId="2AAE696C" w14:textId="77777777" w:rsidR="00471711" w:rsidRPr="00680A08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24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00F0E02" w14:textId="77777777" w:rsidR="00471711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ПРОТИВ </w:t>
            </w:r>
          </w:p>
          <w:p w14:paraId="5C9917ED" w14:textId="77777777" w:rsidR="00471711" w:rsidRPr="00680A08" w:rsidRDefault="00471711" w:rsidP="002E034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471711" w:rsidRPr="00680A08" w14:paraId="5DA37470" w14:textId="77777777" w:rsidTr="002E0343">
        <w:trPr>
          <w:trHeight w:val="286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C8AF0D4" w14:textId="77777777" w:rsidR="00471711" w:rsidRPr="00680A08" w:rsidRDefault="00471711" w:rsidP="002E0343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945A7E4" w14:textId="6858B5E1" w:rsidR="00471711" w:rsidRPr="00680A08" w:rsidRDefault="007B552D" w:rsidP="002E0343">
            <w:pPr>
              <w:rPr>
                <w:b/>
                <w:snapToGrid w:val="0"/>
              </w:rPr>
            </w:pPr>
            <w:r w:rsidRPr="007B552D">
              <w:rPr>
                <w:b/>
                <w:snapToGrid w:val="0"/>
              </w:rPr>
              <w:t>ООО «Межрегиональный центр кадастровых работ, землеустройства и оценки»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046BC7C" w14:textId="77777777" w:rsidR="00471711" w:rsidRPr="00680A08" w:rsidRDefault="00471711" w:rsidP="002E0343">
            <w:pPr>
              <w:keepNext/>
              <w:spacing w:before="40" w:after="40"/>
            </w:pPr>
            <w:r>
              <w:t>Козлов М.С.</w:t>
            </w:r>
          </w:p>
        </w:tc>
        <w:tc>
          <w:tcPr>
            <w:tcW w:w="2423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4B98EAF" w14:textId="77777777" w:rsidR="00471711" w:rsidRPr="00680A08" w:rsidRDefault="00471711" w:rsidP="002E0343">
            <w:pPr>
              <w:keepNext/>
              <w:spacing w:before="40" w:after="40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 xml:space="preserve"> </w:t>
            </w:r>
          </w:p>
        </w:tc>
      </w:tr>
      <w:tr w:rsidR="00471711" w:rsidRPr="00680A08" w14:paraId="5BEADD48" w14:textId="77777777" w:rsidTr="002E0343">
        <w:trPr>
          <w:trHeight w:val="30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2B6D49C" w14:textId="77777777" w:rsidR="00471711" w:rsidRPr="00680A08" w:rsidRDefault="00471711" w:rsidP="002E0343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B076267" w14:textId="77777777" w:rsidR="00471711" w:rsidRPr="00680A08" w:rsidRDefault="00471711" w:rsidP="002E0343">
            <w:pPr>
              <w:rPr>
                <w:snapToGrid w:val="0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556DB52" w14:textId="3C3230F1" w:rsidR="00471711" w:rsidRPr="00680A08" w:rsidRDefault="007B552D" w:rsidP="002E0343">
            <w:pPr>
              <w:spacing w:before="40" w:after="40"/>
            </w:pPr>
            <w:r>
              <w:t>Шаршов С.А.</w:t>
            </w:r>
          </w:p>
        </w:tc>
        <w:tc>
          <w:tcPr>
            <w:tcW w:w="2423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0287A5B" w14:textId="77777777" w:rsidR="00471711" w:rsidRPr="00680A08" w:rsidRDefault="00471711" w:rsidP="002E0343">
            <w:pPr>
              <w:rPr>
                <w:sz w:val="22"/>
                <w:szCs w:val="22"/>
              </w:rPr>
            </w:pPr>
          </w:p>
        </w:tc>
      </w:tr>
      <w:tr w:rsidR="00471711" w:rsidRPr="00680A08" w14:paraId="3F584D36" w14:textId="77777777" w:rsidTr="002E0343">
        <w:trPr>
          <w:trHeight w:val="37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C380678" w14:textId="77777777" w:rsidR="00471711" w:rsidRPr="00680A08" w:rsidRDefault="00471711" w:rsidP="002E0343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C5D1856" w14:textId="77777777" w:rsidR="00471711" w:rsidRPr="00680A08" w:rsidRDefault="00471711" w:rsidP="002E0343">
            <w:pPr>
              <w:rPr>
                <w:snapToGrid w:val="0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A7B86EA" w14:textId="07546F13" w:rsidR="00471711" w:rsidRPr="00680A08" w:rsidRDefault="007B552D" w:rsidP="002E0343">
            <w:pPr>
              <w:spacing w:before="40" w:after="40"/>
            </w:pPr>
            <w:r>
              <w:t>Прохоров К.А.</w:t>
            </w:r>
          </w:p>
        </w:tc>
        <w:tc>
          <w:tcPr>
            <w:tcW w:w="2423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FF39998" w14:textId="77777777" w:rsidR="00471711" w:rsidRPr="00680A08" w:rsidRDefault="00471711" w:rsidP="002E0343">
            <w:pPr>
              <w:rPr>
                <w:sz w:val="22"/>
                <w:szCs w:val="22"/>
              </w:rPr>
            </w:pPr>
          </w:p>
        </w:tc>
      </w:tr>
    </w:tbl>
    <w:p w14:paraId="3996E729" w14:textId="77777777" w:rsidR="00471711" w:rsidRPr="00680A08" w:rsidRDefault="00471711" w:rsidP="00471711">
      <w:pPr>
        <w:spacing w:before="40" w:after="40"/>
        <w:ind w:right="-1"/>
        <w:jc w:val="both"/>
      </w:pPr>
    </w:p>
    <w:p w14:paraId="6D2EE1DD" w14:textId="77777777" w:rsidR="00471711" w:rsidRPr="00680A08" w:rsidRDefault="00471711" w:rsidP="00471711">
      <w:pPr>
        <w:spacing w:before="40" w:after="40"/>
        <w:ind w:right="-1"/>
        <w:jc w:val="both"/>
      </w:pPr>
      <w:r w:rsidRPr="00680A08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3A9BD08C" w14:textId="2BF60551" w:rsidR="00471711" w:rsidRPr="00680A08" w:rsidRDefault="00471711" w:rsidP="00471711">
      <w:r w:rsidRPr="00680A08">
        <w:t xml:space="preserve">- </w:t>
      </w:r>
      <w:r w:rsidR="007B552D" w:rsidRPr="007B552D">
        <w:rPr>
          <w:rFonts w:cstheme="minorBidi"/>
          <w:snapToGrid w:val="0"/>
        </w:rPr>
        <w:t>ООО «Межрегиональный центр кадастровых работ, землеустройства и оценки»</w:t>
      </w:r>
      <w:r w:rsidR="007B552D" w:rsidRPr="00680A08">
        <w:t xml:space="preserve"> </w:t>
      </w:r>
      <w:r w:rsidRPr="00680A08">
        <w:t xml:space="preserve">(рег. номер заявки 1). </w:t>
      </w:r>
    </w:p>
    <w:p w14:paraId="069C6F0B" w14:textId="77777777" w:rsidR="00471711" w:rsidRPr="00680A08" w:rsidRDefault="00471711" w:rsidP="00471711">
      <w:pPr>
        <w:spacing w:before="40" w:after="40"/>
        <w:ind w:right="-426"/>
        <w:jc w:val="both"/>
      </w:pPr>
    </w:p>
    <w:p w14:paraId="3A5CA6DA" w14:textId="77777777" w:rsidR="00471711" w:rsidRPr="00680A08" w:rsidRDefault="00471711" w:rsidP="00471711">
      <w:pPr>
        <w:spacing w:before="40" w:after="40"/>
        <w:ind w:left="360" w:right="-426"/>
        <w:jc w:val="both"/>
      </w:pPr>
      <w:r>
        <w:t xml:space="preserve">1.5. </w:t>
      </w:r>
      <w:r w:rsidRPr="00680A08">
        <w:t>Участник закупки представил следующие предложения по цене договора:</w:t>
      </w:r>
    </w:p>
    <w:p w14:paraId="0F79D955" w14:textId="77777777" w:rsidR="00471711" w:rsidRPr="00680A08" w:rsidRDefault="00471711" w:rsidP="00471711">
      <w:pPr>
        <w:spacing w:before="40" w:after="40"/>
        <w:ind w:left="900" w:right="-426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471711" w:rsidRPr="00680A08" w14:paraId="22CAE47B" w14:textId="77777777" w:rsidTr="002E034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934714" w14:textId="77777777" w:rsidR="00471711" w:rsidRPr="00680A08" w:rsidRDefault="00471711" w:rsidP="002E0343">
            <w:pPr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D1AA2C2" w14:textId="77777777" w:rsidR="00471711" w:rsidRPr="00680A08" w:rsidRDefault="00471711" w:rsidP="002E0343">
            <w:pPr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1E2B3CF" w14:textId="77777777" w:rsidR="00471711" w:rsidRPr="00680A08" w:rsidRDefault="00471711" w:rsidP="002E0343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Цена, </w:t>
            </w:r>
          </w:p>
          <w:p w14:paraId="3118E30B" w14:textId="77777777" w:rsidR="00471711" w:rsidRPr="00680A08" w:rsidRDefault="00471711" w:rsidP="002E0343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680A08">
              <w:rPr>
                <w:b/>
                <w:sz w:val="22"/>
                <w:szCs w:val="22"/>
              </w:rPr>
              <w:t xml:space="preserve"> НДС, руб.</w:t>
            </w:r>
          </w:p>
        </w:tc>
      </w:tr>
      <w:tr w:rsidR="00471711" w:rsidRPr="00680A08" w14:paraId="2F29D002" w14:textId="77777777" w:rsidTr="002E0343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0119" w14:textId="77777777" w:rsidR="00471711" w:rsidRPr="00680A08" w:rsidRDefault="00471711" w:rsidP="002E0343">
            <w:pPr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301AF" w14:textId="3350E1C1" w:rsidR="00471711" w:rsidRPr="00680A08" w:rsidRDefault="007B552D" w:rsidP="002E0343">
            <w:pPr>
              <w:rPr>
                <w:sz w:val="22"/>
                <w:szCs w:val="22"/>
              </w:rPr>
            </w:pPr>
            <w:r w:rsidRPr="007B552D">
              <w:rPr>
                <w:b/>
              </w:rPr>
              <w:t>ООО «Межрегиональный центр кадастровых работ, землеустройства и оценки»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7C1A" w14:textId="151E9900" w:rsidR="00471711" w:rsidRPr="00680A08" w:rsidRDefault="007B552D" w:rsidP="007B552D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850</w:t>
            </w:r>
            <w:r w:rsidR="00471711" w:rsidRPr="00107CE2">
              <w:rPr>
                <w:szCs w:val="22"/>
              </w:rPr>
              <w:t xml:space="preserve"> 000 (</w:t>
            </w:r>
            <w:r>
              <w:rPr>
                <w:szCs w:val="22"/>
              </w:rPr>
              <w:t>восемьсот пятьдесят тысяч</w:t>
            </w:r>
            <w:r w:rsidR="00471711" w:rsidRPr="00107CE2">
              <w:rPr>
                <w:szCs w:val="22"/>
              </w:rPr>
              <w:t>) рублей 00 копеек</w:t>
            </w:r>
            <w:r>
              <w:rPr>
                <w:szCs w:val="22"/>
              </w:rPr>
              <w:t xml:space="preserve"> (без НДС)</w:t>
            </w:r>
          </w:p>
        </w:tc>
      </w:tr>
    </w:tbl>
    <w:p w14:paraId="721D990B" w14:textId="77777777" w:rsidR="00471711" w:rsidRPr="00680A08" w:rsidRDefault="00471711" w:rsidP="00471711">
      <w:pPr>
        <w:tabs>
          <w:tab w:val="left" w:pos="567"/>
          <w:tab w:val="left" w:pos="993"/>
        </w:tabs>
        <w:spacing w:after="200"/>
        <w:contextualSpacing/>
        <w:jc w:val="both"/>
        <w:rPr>
          <w:lang w:eastAsia="en-US"/>
        </w:rPr>
      </w:pPr>
    </w:p>
    <w:p w14:paraId="74851D4D" w14:textId="44462155" w:rsidR="00471711" w:rsidRPr="00680A08" w:rsidRDefault="00471711" w:rsidP="00471711">
      <w:pPr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ab/>
        <w:t>1.6</w:t>
      </w:r>
      <w:r w:rsidRPr="00680A08">
        <w:rPr>
          <w:lang w:eastAsia="en-US"/>
        </w:rPr>
        <w:t xml:space="preserve">. </w:t>
      </w:r>
      <w:proofErr w:type="gramStart"/>
      <w:r w:rsidRPr="00680A08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Pr="00680A08">
        <w:rPr>
          <w:snapToGrid w:val="0"/>
          <w:lang w:eastAsia="en-US"/>
        </w:rPr>
        <w:t xml:space="preserve"> </w:t>
      </w:r>
      <w:r w:rsidR="007B552D" w:rsidRPr="007B552D">
        <w:rPr>
          <w:rFonts w:cstheme="minorBidi"/>
          <w:snapToGrid w:val="0"/>
        </w:rPr>
        <w:t>ООО «Межрегиональный центр кадастровых работ, землеустройства и оценки»</w:t>
      </w:r>
      <w:r>
        <w:t xml:space="preserve"> </w:t>
      </w:r>
      <w:r w:rsidRPr="00680A08">
        <w:rPr>
          <w:lang w:eastAsia="en-US"/>
        </w:rPr>
        <w:t xml:space="preserve">соответствует требованиям, указанным в </w:t>
      </w:r>
      <w:r>
        <w:rPr>
          <w:lang w:eastAsia="en-US"/>
        </w:rPr>
        <w:t xml:space="preserve">документации и </w:t>
      </w:r>
      <w:r w:rsidRPr="00680A08">
        <w:rPr>
          <w:lang w:eastAsia="en-US"/>
        </w:rPr>
        <w:t xml:space="preserve">извещении о проведении открытого запроса ценовых котировок </w:t>
      </w:r>
      <w:r w:rsidR="007B552D" w:rsidRPr="008A12C9">
        <w:t>на право заключения договора подряда на изготовление технических</w:t>
      </w:r>
      <w:proofErr w:type="gramEnd"/>
      <w:r w:rsidR="007B552D" w:rsidRPr="008A12C9">
        <w:t xml:space="preserve"> планов (51 шт.) и актов обследования для целей снятия с кадастрового учета (67</w:t>
      </w:r>
      <w:r w:rsidR="002C5A77">
        <w:t xml:space="preserve"> </w:t>
      </w:r>
      <w:r w:rsidR="007B552D" w:rsidRPr="008A12C9">
        <w:t xml:space="preserve">шт.) на объекты недвижимости, расположенные в </w:t>
      </w:r>
      <w:proofErr w:type="spellStart"/>
      <w:r w:rsidR="007B552D" w:rsidRPr="008A12C9">
        <w:t>Берёзовском</w:t>
      </w:r>
      <w:proofErr w:type="spellEnd"/>
      <w:r w:rsidR="007B552D" w:rsidRPr="008A12C9">
        <w:t>, Кондинском, Октябрьском и Советском районах ХМАО-Юг</w:t>
      </w:r>
      <w:r w:rsidR="007B552D">
        <w:t>ры</w:t>
      </w:r>
      <w:r>
        <w:rPr>
          <w:lang w:eastAsia="en-US"/>
        </w:rPr>
        <w:t xml:space="preserve"> </w:t>
      </w:r>
      <w:r w:rsidRPr="00680A08">
        <w:rPr>
          <w:lang w:eastAsia="en-US"/>
        </w:rPr>
        <w:t>на голосование вынесен следующий вопрос:</w:t>
      </w:r>
      <w:r w:rsidRPr="00680A08">
        <w:rPr>
          <w:sz w:val="22"/>
          <w:szCs w:val="22"/>
          <w:lang w:eastAsia="en-US"/>
        </w:rPr>
        <w:t xml:space="preserve"> </w:t>
      </w:r>
      <w:proofErr w:type="gramStart"/>
      <w:r w:rsidRPr="00680A08">
        <w:rPr>
          <w:sz w:val="22"/>
          <w:szCs w:val="22"/>
          <w:lang w:eastAsia="en-US"/>
        </w:rPr>
        <w:t>«</w:t>
      </w:r>
      <w:r w:rsidRPr="00680A08">
        <w:rPr>
          <w:b/>
          <w:i/>
          <w:lang w:eastAsia="en-US"/>
        </w:rPr>
        <w:t xml:space="preserve">Заключить </w:t>
      </w:r>
      <w:r w:rsidR="007B552D" w:rsidRPr="007B552D">
        <w:rPr>
          <w:b/>
          <w:i/>
          <w:lang w:eastAsia="en-US"/>
        </w:rPr>
        <w:t>договор подряда на изготовление технических планов (51 шт.) и актов обследования для целей снятия с кадастрового учета (67</w:t>
      </w:r>
      <w:r w:rsidR="002C5A77">
        <w:rPr>
          <w:b/>
          <w:i/>
          <w:lang w:eastAsia="en-US"/>
        </w:rPr>
        <w:t xml:space="preserve"> </w:t>
      </w:r>
      <w:r w:rsidR="007B552D" w:rsidRPr="007B552D">
        <w:rPr>
          <w:b/>
          <w:i/>
          <w:lang w:eastAsia="en-US"/>
        </w:rPr>
        <w:t xml:space="preserve">шт.) на объекты недвижимости, расположенные в </w:t>
      </w:r>
      <w:proofErr w:type="spellStart"/>
      <w:r w:rsidR="007B552D" w:rsidRPr="007B552D">
        <w:rPr>
          <w:b/>
          <w:i/>
          <w:lang w:eastAsia="en-US"/>
        </w:rPr>
        <w:t>Берёзовском</w:t>
      </w:r>
      <w:proofErr w:type="spellEnd"/>
      <w:r w:rsidR="007B552D" w:rsidRPr="007B552D">
        <w:rPr>
          <w:b/>
          <w:i/>
          <w:lang w:eastAsia="en-US"/>
        </w:rPr>
        <w:t>, Кондинском, Октябрьском и Советском районах ХМАО-Югры</w:t>
      </w:r>
      <w:r w:rsidRPr="00364A1F">
        <w:rPr>
          <w:b/>
          <w:i/>
          <w:lang w:eastAsia="en-US"/>
        </w:rPr>
        <w:t xml:space="preserve"> </w:t>
      </w:r>
      <w:r w:rsidRPr="00680A08">
        <w:rPr>
          <w:b/>
          <w:i/>
          <w:lang w:eastAsia="en-US"/>
        </w:rPr>
        <w:t xml:space="preserve">с </w:t>
      </w:r>
      <w:r w:rsidR="007B552D" w:rsidRPr="007B552D">
        <w:rPr>
          <w:b/>
          <w:lang w:eastAsia="en-US"/>
        </w:rPr>
        <w:t>ООО «Межрегиональный центр кадастровых работ, землеустройства и оценки»</w:t>
      </w:r>
      <w:r>
        <w:rPr>
          <w:b/>
          <w:i/>
          <w:lang w:eastAsia="en-US"/>
        </w:rPr>
        <w:t>,</w:t>
      </w:r>
      <w:r w:rsidRPr="00680A08">
        <w:rPr>
          <w:b/>
          <w:i/>
          <w:lang w:eastAsia="en-US"/>
        </w:rPr>
        <w:t xml:space="preserve"> предложившим следующие условия исполнения договора: цена </w:t>
      </w:r>
      <w:r>
        <w:rPr>
          <w:b/>
          <w:i/>
          <w:lang w:eastAsia="en-US"/>
        </w:rPr>
        <w:t xml:space="preserve">- </w:t>
      </w:r>
      <w:r w:rsidR="006D1E14" w:rsidRPr="006D1E14">
        <w:rPr>
          <w:b/>
          <w:i/>
          <w:lang w:eastAsia="en-US"/>
        </w:rPr>
        <w:t>850 000 (восемьсот пятьдесят тысяч) рублей 00 копеек (без НДС)</w:t>
      </w:r>
      <w:r w:rsidRPr="00680A08">
        <w:rPr>
          <w:b/>
          <w:i/>
          <w:lang w:eastAsia="en-US"/>
        </w:rPr>
        <w:t>, иные условия договора</w:t>
      </w:r>
      <w:proofErr w:type="gramEnd"/>
      <w:r w:rsidRPr="00680A08">
        <w:rPr>
          <w:b/>
          <w:i/>
          <w:lang w:eastAsia="en-US"/>
        </w:rPr>
        <w:t xml:space="preserve"> </w:t>
      </w:r>
      <w:proofErr w:type="gramStart"/>
      <w:r>
        <w:rPr>
          <w:b/>
          <w:i/>
          <w:lang w:eastAsia="en-US"/>
        </w:rPr>
        <w:t>подряда</w:t>
      </w:r>
      <w:r w:rsidRPr="00680A08">
        <w:rPr>
          <w:b/>
          <w:i/>
          <w:lang w:eastAsia="en-US"/>
        </w:rPr>
        <w:t xml:space="preserve"> указаны в </w:t>
      </w:r>
      <w:r>
        <w:rPr>
          <w:b/>
          <w:i/>
          <w:lang w:eastAsia="en-US"/>
        </w:rPr>
        <w:t>документации</w:t>
      </w:r>
      <w:r w:rsidRPr="00680A08">
        <w:rPr>
          <w:b/>
          <w:i/>
          <w:lang w:eastAsia="en-US"/>
        </w:rPr>
        <w:t xml:space="preserve"> о проведении открытого запроса </w:t>
      </w:r>
      <w:r>
        <w:rPr>
          <w:b/>
          <w:i/>
          <w:lang w:eastAsia="en-US"/>
        </w:rPr>
        <w:t xml:space="preserve">ценовых </w:t>
      </w:r>
      <w:r w:rsidRPr="00680A08">
        <w:rPr>
          <w:b/>
          <w:i/>
          <w:lang w:eastAsia="en-US"/>
        </w:rPr>
        <w:t>котировок.</w:t>
      </w:r>
      <w:proofErr w:type="gramEnd"/>
    </w:p>
    <w:p w14:paraId="31C1F8CD" w14:textId="77777777" w:rsidR="00471711" w:rsidRPr="008646D9" w:rsidRDefault="00471711" w:rsidP="00471711">
      <w:pPr>
        <w:widowControl w:val="0"/>
        <w:jc w:val="both"/>
        <w:rPr>
          <w:i/>
        </w:rPr>
      </w:pPr>
    </w:p>
    <w:p w14:paraId="1C4DCE71" w14:textId="77777777" w:rsidR="00E95456" w:rsidRPr="008646D9" w:rsidRDefault="00E95456" w:rsidP="00471711">
      <w:pPr>
        <w:widowControl w:val="0"/>
        <w:jc w:val="both"/>
        <w:rPr>
          <w:i/>
        </w:rPr>
      </w:pPr>
    </w:p>
    <w:p w14:paraId="7972A49D" w14:textId="6FFCB777" w:rsidR="00471711" w:rsidRPr="00F665E8" w:rsidRDefault="007B552D" w:rsidP="00471711">
      <w:pPr>
        <w:pStyle w:val="a4"/>
        <w:widowControl w:val="0"/>
        <w:jc w:val="both"/>
        <w:rPr>
          <w:i/>
        </w:rPr>
      </w:pPr>
      <w:r>
        <w:rPr>
          <w:i/>
        </w:rPr>
        <w:t>Голосовали: «За» - единогласно;</w:t>
      </w:r>
    </w:p>
    <w:p w14:paraId="3E221A90" w14:textId="77777777" w:rsidR="00471711" w:rsidRDefault="00471711" w:rsidP="00471711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491D5060" w14:textId="3FA92951" w:rsidR="006D254D" w:rsidRDefault="006D254D" w:rsidP="006D254D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  <w:r w:rsidRPr="005D6C6D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5D6C6D">
        <w:rPr>
          <w:b/>
          <w:u w:val="single"/>
        </w:rPr>
        <w:t xml:space="preserve"> вопросу повестки дня:</w:t>
      </w:r>
    </w:p>
    <w:p w14:paraId="56E185F1" w14:textId="77777777" w:rsidR="007B552D" w:rsidRPr="005D6C6D" w:rsidRDefault="007B552D" w:rsidP="006D254D">
      <w:pPr>
        <w:widowControl w:val="0"/>
        <w:tabs>
          <w:tab w:val="left" w:pos="993"/>
        </w:tabs>
        <w:ind w:firstLine="708"/>
        <w:jc w:val="both"/>
      </w:pPr>
    </w:p>
    <w:p w14:paraId="15D83D03" w14:textId="5B4A198B" w:rsidR="00CE7E47" w:rsidRDefault="00282E9A" w:rsidP="00282E9A">
      <w:pPr>
        <w:widowControl w:val="0"/>
        <w:tabs>
          <w:tab w:val="left" w:pos="426"/>
        </w:tabs>
        <w:jc w:val="both"/>
        <w:outlineLvl w:val="0"/>
        <w:rPr>
          <w:rFonts w:eastAsiaTheme="minorHAnsi"/>
        </w:rPr>
      </w:pPr>
      <w:r>
        <w:tab/>
      </w:r>
      <w:r w:rsidR="00C35539">
        <w:tab/>
      </w:r>
      <w:r w:rsidRPr="00282E9A">
        <w:t>2.</w:t>
      </w:r>
      <w:r w:rsidRPr="00282E9A">
        <w:tab/>
      </w:r>
      <w:r w:rsidR="008A12C9" w:rsidRPr="008A12C9">
        <w:rPr>
          <w:rFonts w:eastAsiaTheme="minorHAnsi"/>
        </w:rPr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работ по расчистке </w:t>
      </w:r>
      <w:r w:rsidR="008A12C9" w:rsidRPr="008A12C9">
        <w:rPr>
          <w:rFonts w:eastAsiaTheme="minorHAnsi"/>
        </w:rPr>
        <w:lastRenderedPageBreak/>
        <w:t xml:space="preserve">охранной зоны от древесно-кустарниковой растительности с утилизацией порубочных остатков на объекте: ВЛ-35 кВ </w:t>
      </w:r>
      <w:proofErr w:type="spellStart"/>
      <w:r w:rsidR="008A12C9" w:rsidRPr="008A12C9">
        <w:rPr>
          <w:rFonts w:eastAsiaTheme="minorHAnsi"/>
        </w:rPr>
        <w:t>Выкатная-Цингалы</w:t>
      </w:r>
      <w:proofErr w:type="spellEnd"/>
      <w:r w:rsidR="008A12C9" w:rsidRPr="008A12C9">
        <w:rPr>
          <w:rFonts w:eastAsiaTheme="minorHAnsi"/>
        </w:rPr>
        <w:t xml:space="preserve"> с ПС 35 кВ в поселке </w:t>
      </w:r>
      <w:proofErr w:type="spellStart"/>
      <w:r w:rsidR="008A12C9" w:rsidRPr="008A12C9">
        <w:rPr>
          <w:rFonts w:eastAsiaTheme="minorHAnsi"/>
        </w:rPr>
        <w:t>Цингалы</w:t>
      </w:r>
      <w:proofErr w:type="spellEnd"/>
      <w:r w:rsidR="008A12C9" w:rsidRPr="008A12C9">
        <w:rPr>
          <w:rFonts w:eastAsiaTheme="minorHAnsi"/>
        </w:rPr>
        <w:t xml:space="preserve"> (инв. № 000007647) (Реестровый номер: 198-2017).</w:t>
      </w:r>
    </w:p>
    <w:p w14:paraId="2E3C1033" w14:textId="77777777" w:rsidR="008A788B" w:rsidRDefault="008A788B" w:rsidP="00282E9A">
      <w:pPr>
        <w:widowControl w:val="0"/>
        <w:tabs>
          <w:tab w:val="left" w:pos="426"/>
        </w:tabs>
        <w:jc w:val="both"/>
        <w:outlineLvl w:val="0"/>
        <w:rPr>
          <w:i/>
        </w:rPr>
      </w:pPr>
    </w:p>
    <w:p w14:paraId="11777123" w14:textId="0D3A5B52" w:rsidR="008A788B" w:rsidRPr="005D6C6D" w:rsidRDefault="00594DE1" w:rsidP="00594DE1">
      <w:pPr>
        <w:widowControl w:val="0"/>
        <w:ind w:firstLine="708"/>
        <w:jc w:val="both"/>
      </w:pPr>
      <w:r>
        <w:t>2</w:t>
      </w:r>
      <w:r w:rsidRPr="005D6C6D">
        <w:t xml:space="preserve">.1. На открытый запрос котировок подано </w:t>
      </w:r>
      <w:r w:rsidR="00383621">
        <w:t>3</w:t>
      </w:r>
      <w:r w:rsidRPr="005D6C6D">
        <w:t xml:space="preserve"> (</w:t>
      </w:r>
      <w:r w:rsidR="00383621">
        <w:t>три) заявки</w:t>
      </w:r>
      <w:r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371"/>
      </w:tblGrid>
      <w:tr w:rsidR="00594DE1" w:rsidRPr="005D6C6D" w14:paraId="44779B48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42C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09762FE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7E7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7544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0F517EBC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383621" w:rsidRPr="005D6C6D" w14:paraId="357F87B0" w14:textId="77777777" w:rsidTr="005F7F3E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00B5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FAA5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F1DE" w14:textId="77777777" w:rsidR="007B552D" w:rsidRPr="007B552D" w:rsidRDefault="007B552D" w:rsidP="007B552D">
            <w:pPr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ООО «</w:t>
            </w:r>
            <w:proofErr w:type="spellStart"/>
            <w:r w:rsidRPr="007B552D">
              <w:rPr>
                <w:rFonts w:cstheme="minorBidi"/>
                <w:snapToGrid w:val="0"/>
              </w:rPr>
              <w:t>Энерго</w:t>
            </w:r>
            <w:proofErr w:type="spellEnd"/>
            <w:r w:rsidRPr="007B552D">
              <w:rPr>
                <w:rFonts w:cstheme="minorBidi"/>
                <w:snapToGrid w:val="0"/>
              </w:rPr>
              <w:t xml:space="preserve"> плюс»,</w:t>
            </w:r>
          </w:p>
          <w:p w14:paraId="427C4C15" w14:textId="0657C7F7" w:rsidR="00383621" w:rsidRPr="005D6C6D" w:rsidRDefault="007B552D" w:rsidP="007B552D">
            <w:pPr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620142, г. Екатеринбург, ул. Чайковского, д. 56, пом. 16</w:t>
            </w:r>
          </w:p>
        </w:tc>
      </w:tr>
      <w:tr w:rsidR="00383621" w:rsidRPr="005D6C6D" w14:paraId="3A344A20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3E68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02F6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E11" w14:textId="77777777" w:rsidR="007B552D" w:rsidRDefault="007B552D" w:rsidP="00E3658C">
            <w:pPr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ИП Носков Александр Владимирович, </w:t>
            </w:r>
          </w:p>
          <w:p w14:paraId="70564F7C" w14:textId="6FC2E259" w:rsidR="00383621" w:rsidRPr="005D6C6D" w:rsidRDefault="007B552D" w:rsidP="00E3658C">
            <w:pPr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620107, г. Екатеринбург, ул. </w:t>
            </w:r>
            <w:proofErr w:type="gramStart"/>
            <w:r>
              <w:rPr>
                <w:rFonts w:cstheme="minorBidi"/>
                <w:snapToGrid w:val="0"/>
              </w:rPr>
              <w:t>Гражданская</w:t>
            </w:r>
            <w:proofErr w:type="gramEnd"/>
            <w:r>
              <w:rPr>
                <w:rFonts w:cstheme="minorBidi"/>
                <w:snapToGrid w:val="0"/>
              </w:rPr>
              <w:t>, 2 - 243</w:t>
            </w:r>
          </w:p>
        </w:tc>
      </w:tr>
      <w:tr w:rsidR="00383621" w:rsidRPr="005D6C6D" w14:paraId="7BCA2A2C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6DB1" w14:textId="77777777" w:rsidR="00383621" w:rsidRPr="005D6C6D" w:rsidRDefault="00383621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DE65" w14:textId="77777777" w:rsidR="00383621" w:rsidRPr="005D6C6D" w:rsidRDefault="0038362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59DA" w14:textId="77777777" w:rsidR="007B552D" w:rsidRPr="007B552D" w:rsidRDefault="007B552D" w:rsidP="007B552D">
            <w:pPr>
              <w:jc w:val="both"/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ООО «</w:t>
            </w:r>
            <w:proofErr w:type="spellStart"/>
            <w:r w:rsidRPr="007B552D">
              <w:rPr>
                <w:rFonts w:cstheme="minorBidi"/>
                <w:snapToGrid w:val="0"/>
              </w:rPr>
              <w:t>ЭнтэрПроф</w:t>
            </w:r>
            <w:proofErr w:type="spellEnd"/>
            <w:r w:rsidRPr="007B552D">
              <w:rPr>
                <w:rFonts w:cstheme="minorBidi"/>
                <w:snapToGrid w:val="0"/>
              </w:rPr>
              <w:t xml:space="preserve">», </w:t>
            </w:r>
          </w:p>
          <w:p w14:paraId="30D879EC" w14:textId="63EFC98C" w:rsidR="00383621" w:rsidRPr="005D6C6D" w:rsidRDefault="007B552D" w:rsidP="007B552D">
            <w:pPr>
              <w:jc w:val="both"/>
              <w:rPr>
                <w:rFonts w:cstheme="minorBidi"/>
                <w:snapToGrid w:val="0"/>
              </w:rPr>
            </w:pPr>
            <w:r w:rsidRPr="007B552D">
              <w:rPr>
                <w:rFonts w:cstheme="minorBidi"/>
                <w:snapToGrid w:val="0"/>
              </w:rPr>
              <w:t>620089, г. Екатеринбург, ул. Белинского, д. 177 а, к. 123</w:t>
            </w:r>
          </w:p>
        </w:tc>
      </w:tr>
    </w:tbl>
    <w:p w14:paraId="5F27E253" w14:textId="7342C097" w:rsidR="00594DE1" w:rsidRPr="005D6C6D" w:rsidRDefault="00594DE1" w:rsidP="00594DE1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18227454" w14:textId="07D40FA4" w:rsidR="00594DE1" w:rsidRPr="005D6C6D" w:rsidRDefault="003B0510" w:rsidP="00594DE1">
      <w:pPr>
        <w:widowControl w:val="0"/>
        <w:ind w:firstLine="708"/>
        <w:jc w:val="both"/>
      </w:pPr>
      <w:r>
        <w:t>2</w:t>
      </w:r>
      <w:r w:rsidR="00594DE1" w:rsidRPr="005D6C6D">
        <w:t>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7CD57CC0" w14:textId="696DD456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251FC178" w14:textId="5128326B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 xml:space="preserve">.4. По итогам рассмотрения котировочных заявок путем голосования приняты следующие решения: </w:t>
      </w:r>
    </w:p>
    <w:p w14:paraId="3BC6FB7A" w14:textId="24418F1C" w:rsidR="002F0C97" w:rsidRDefault="00EE1987" w:rsidP="002F0C97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2F0C97">
        <w:rPr>
          <w:lang w:eastAsia="en-US"/>
        </w:rPr>
        <w:t xml:space="preserve">.4.1. Решение </w:t>
      </w:r>
      <w:r w:rsidR="002F0C97">
        <w:rPr>
          <w:u w:val="single"/>
          <w:lang w:eastAsia="en-US"/>
        </w:rPr>
        <w:t>об отказе в допуске</w:t>
      </w:r>
      <w:r w:rsidR="002F0C97"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781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1858"/>
        <w:gridCol w:w="2126"/>
        <w:gridCol w:w="5103"/>
      </w:tblGrid>
      <w:tr w:rsidR="002F0C97" w14:paraId="20D6EAD7" w14:textId="77777777" w:rsidTr="008646D9"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BAA4458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  <w:snapToGrid w:val="0"/>
              </w:rPr>
              <w:t>Рег. №</w:t>
            </w:r>
          </w:p>
        </w:tc>
        <w:tc>
          <w:tcPr>
            <w:tcW w:w="18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E0CD9AF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E07CFC3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14:paraId="4CBA46BA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510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1383413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ПРОТИВ </w:t>
            </w:r>
          </w:p>
          <w:p w14:paraId="043282F7" w14:textId="77777777" w:rsidR="002F0C97" w:rsidRDefault="002F0C97" w:rsidP="008646D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2F0C97" w14:paraId="297AB727" w14:textId="77777777" w:rsidTr="008646D9">
        <w:trPr>
          <w:trHeight w:val="2643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FFBFAEA" w14:textId="67DAEF9A" w:rsidR="002F0C97" w:rsidRDefault="0055326F" w:rsidP="008646D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8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0D5E7C8" w14:textId="15236079" w:rsidR="002F0C97" w:rsidRDefault="002F0C97" w:rsidP="008646D9">
            <w:pPr>
              <w:widowControl w:val="0"/>
              <w:rPr>
                <w:snapToGrid w:val="0"/>
              </w:rPr>
            </w:pPr>
            <w:r w:rsidRPr="00163CF6">
              <w:rPr>
                <w:b/>
                <w:snapToGrid w:val="0"/>
              </w:rPr>
              <w:t>ООО «</w:t>
            </w:r>
            <w:proofErr w:type="spellStart"/>
            <w:r w:rsidRPr="00163CF6">
              <w:rPr>
                <w:b/>
                <w:snapToGrid w:val="0"/>
              </w:rPr>
              <w:t>Энерго</w:t>
            </w:r>
            <w:proofErr w:type="spellEnd"/>
            <w:r w:rsidRPr="00163CF6">
              <w:rPr>
                <w:b/>
                <w:snapToGrid w:val="0"/>
              </w:rPr>
              <w:t xml:space="preserve"> плюс»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1E8693C" w14:textId="7E6E9149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5103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7C1A229F" w14:textId="3E58AB34" w:rsidR="002F0C97" w:rsidRDefault="002F0C97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 xml:space="preserve">а </w:t>
            </w:r>
            <w:r w:rsidR="00EE1987" w:rsidRPr="00EE1987">
              <w:rPr>
                <w:sz w:val="20"/>
              </w:rPr>
              <w:t>ООО</w:t>
            </w:r>
            <w:proofErr w:type="gramEnd"/>
            <w:r w:rsidR="00EE1987" w:rsidRPr="00EE1987">
              <w:rPr>
                <w:sz w:val="20"/>
              </w:rPr>
              <w:t xml:space="preserve"> «</w:t>
            </w:r>
            <w:proofErr w:type="spellStart"/>
            <w:r w:rsidR="00EE1987" w:rsidRPr="00EE1987">
              <w:rPr>
                <w:sz w:val="20"/>
              </w:rPr>
              <w:t>Энерго</w:t>
            </w:r>
            <w:proofErr w:type="spellEnd"/>
            <w:r w:rsidR="00EE1987" w:rsidRPr="00EE1987">
              <w:rPr>
                <w:sz w:val="20"/>
              </w:rPr>
              <w:t xml:space="preserve"> плюс»</w:t>
            </w:r>
            <w:r w:rsidR="00EE19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не соответствует требованиям </w:t>
            </w:r>
            <w:r w:rsidRPr="00DE2005">
              <w:rPr>
                <w:sz w:val="20"/>
              </w:rPr>
              <w:t>п.</w:t>
            </w:r>
            <w:r>
              <w:rPr>
                <w:sz w:val="20"/>
              </w:rPr>
              <w:t xml:space="preserve"> 14 документации о проведении открытого запроса ценовых котировок на право заключения догово</w:t>
            </w:r>
            <w:bookmarkStart w:id="0" w:name="_GoBack"/>
            <w:bookmarkEnd w:id="0"/>
            <w:r>
              <w:rPr>
                <w:sz w:val="20"/>
              </w:rPr>
              <w:t xml:space="preserve">ра </w:t>
            </w:r>
            <w:r w:rsidR="00EE1987" w:rsidRPr="00EE1987">
              <w:rPr>
                <w:sz w:val="20"/>
              </w:rPr>
              <w:t xml:space="preserve">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      </w:r>
            <w:proofErr w:type="spellStart"/>
            <w:r w:rsidR="00EE1987" w:rsidRPr="00EE1987">
              <w:rPr>
                <w:sz w:val="20"/>
              </w:rPr>
              <w:t>Выкатная-Цингалы</w:t>
            </w:r>
            <w:proofErr w:type="spellEnd"/>
            <w:r w:rsidR="00EE1987" w:rsidRPr="00EE1987">
              <w:rPr>
                <w:sz w:val="20"/>
              </w:rPr>
              <w:t xml:space="preserve"> с ПС 35 кВ в поселке </w:t>
            </w:r>
            <w:proofErr w:type="spellStart"/>
            <w:r w:rsidR="00EE1987" w:rsidRPr="00EE1987">
              <w:rPr>
                <w:sz w:val="20"/>
              </w:rPr>
              <w:t>Цингалы</w:t>
            </w:r>
            <w:proofErr w:type="spellEnd"/>
            <w:r w:rsidR="00EE1987" w:rsidRPr="00EE1987">
              <w:rPr>
                <w:sz w:val="20"/>
              </w:rPr>
              <w:t xml:space="preserve"> (инв. № 000007647) (реестровый номер: 198-2017)</w:t>
            </w:r>
            <w:r>
              <w:rPr>
                <w:sz w:val="20"/>
              </w:rPr>
              <w:t xml:space="preserve">: </w:t>
            </w:r>
          </w:p>
          <w:p w14:paraId="6FFB6032" w14:textId="7B5DAF8B" w:rsidR="002F0C97" w:rsidRDefault="004E4F66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Приложена</w:t>
            </w:r>
            <w:r w:rsidR="002D6314">
              <w:rPr>
                <w:sz w:val="20"/>
              </w:rPr>
              <w:t xml:space="preserve"> выписка из ЕГ</w:t>
            </w:r>
            <w:r>
              <w:rPr>
                <w:sz w:val="20"/>
              </w:rPr>
              <w:t>РЮЛ от 21.08.17г., распечатанная с сайта</w:t>
            </w:r>
            <w:r w:rsidR="0055326F">
              <w:rPr>
                <w:sz w:val="20"/>
              </w:rPr>
              <w:t xml:space="preserve"> (при этом требуется выписка, полученная в установленном порядке). Кроме того, приложена надлежащая выписка из ЕГРЮЛ, но датированная 16.06.17 (эта выписка </w:t>
            </w:r>
            <w:r w:rsidR="0055326F" w:rsidRPr="0055326F">
              <w:rPr>
                <w:sz w:val="20"/>
              </w:rPr>
              <w:t>получен</w:t>
            </w:r>
            <w:r w:rsidR="0055326F">
              <w:rPr>
                <w:sz w:val="20"/>
              </w:rPr>
              <w:t>а</w:t>
            </w:r>
            <w:r w:rsidR="0055326F" w:rsidRPr="0055326F">
              <w:rPr>
                <w:sz w:val="20"/>
              </w:rPr>
              <w:t xml:space="preserve"> </w:t>
            </w:r>
            <w:proofErr w:type="gramStart"/>
            <w:r w:rsidR="0055326F" w:rsidRPr="0055326F">
              <w:rPr>
                <w:sz w:val="20"/>
              </w:rPr>
              <w:t>ранее</w:t>
            </w:r>
            <w:proofErr w:type="gramEnd"/>
            <w:r w:rsidR="0055326F" w:rsidRPr="0055326F">
              <w:rPr>
                <w:sz w:val="20"/>
              </w:rPr>
              <w:t xml:space="preserve"> чем за </w:t>
            </w:r>
            <w:r w:rsidR="0055326F">
              <w:rPr>
                <w:sz w:val="20"/>
              </w:rPr>
              <w:t>2</w:t>
            </w:r>
            <w:r w:rsidR="0055326F" w:rsidRPr="0055326F">
              <w:rPr>
                <w:sz w:val="20"/>
              </w:rPr>
              <w:t xml:space="preserve"> месяца до дня размещения на официальном сайте извещения о проведении процедуры закупки</w:t>
            </w:r>
            <w:r w:rsidR="0055326F">
              <w:rPr>
                <w:sz w:val="20"/>
              </w:rPr>
              <w:t xml:space="preserve"> и также не соответствует требованиям документации о проведении открытого запроса ценовых котировок).</w:t>
            </w:r>
          </w:p>
          <w:p w14:paraId="2C7E7628" w14:textId="77777777" w:rsidR="0055326F" w:rsidRDefault="0055326F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Приложенный протокол №22 об одобрении сделки не соответствует т</w:t>
            </w:r>
            <w:r w:rsidRPr="0055326F">
              <w:rPr>
                <w:sz w:val="20"/>
              </w:rPr>
              <w:t>ребованиям, указанным в ст. 46 ФЗ</w:t>
            </w:r>
            <w:r>
              <w:rPr>
                <w:sz w:val="20"/>
              </w:rPr>
              <w:t xml:space="preserve"> «Об обществах с ограниченной ответственностью» - не указаны существенные условия сделки - сроки выполнения работ.</w:t>
            </w:r>
            <w:r w:rsidR="00B86702">
              <w:rPr>
                <w:sz w:val="20"/>
              </w:rPr>
              <w:t xml:space="preserve"> Кроме того, не указаны стороны </w:t>
            </w:r>
            <w:r w:rsidR="00B86702">
              <w:rPr>
                <w:sz w:val="20"/>
              </w:rPr>
              <w:lastRenderedPageBreak/>
              <w:t>сделки.</w:t>
            </w:r>
          </w:p>
          <w:p w14:paraId="531A0D3D" w14:textId="48DF0365" w:rsidR="00B86702" w:rsidRDefault="00AE4D59" w:rsidP="008646D9">
            <w:pPr>
              <w:widowControl w:val="0"/>
              <w:jc w:val="both"/>
              <w:rPr>
                <w:sz w:val="20"/>
              </w:rPr>
            </w:pPr>
            <w:r w:rsidRPr="00AE4D59">
              <w:rPr>
                <w:sz w:val="20"/>
              </w:rPr>
              <w:t>Вместо документа из единого реестра субъектов малого и среднего предпринимательства,  приложен</w:t>
            </w:r>
            <w:r>
              <w:rPr>
                <w:sz w:val="20"/>
              </w:rPr>
              <w:t>а</w:t>
            </w:r>
            <w:r w:rsidRPr="00AE4D59">
              <w:rPr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 w:rsidRPr="00AE4D59">
              <w:rPr>
                <w:sz w:val="20"/>
              </w:rPr>
              <w:t xml:space="preserve"> о соответствии участника </w:t>
            </w:r>
            <w:r>
              <w:rPr>
                <w:sz w:val="20"/>
              </w:rPr>
              <w:t>закупки критериям отнесения к субъектам малого и среднего предпринимательства</w:t>
            </w:r>
            <w:r w:rsidRPr="00AE4D59">
              <w:rPr>
                <w:sz w:val="20"/>
              </w:rPr>
              <w:t xml:space="preserve"> (при </w:t>
            </w:r>
            <w:r w:rsidR="00431AAC">
              <w:rPr>
                <w:sz w:val="20"/>
              </w:rPr>
              <w:t>этом</w:t>
            </w:r>
            <w:r w:rsidRPr="00AE4D59">
              <w:rPr>
                <w:sz w:val="20"/>
              </w:rPr>
              <w:t xml:space="preserve"> участник закупки не является вновь созданным юридическим лицом и зарегистрирован в ЕГРЮЛ </w:t>
            </w:r>
            <w:r>
              <w:rPr>
                <w:sz w:val="20"/>
              </w:rPr>
              <w:t>06.12</w:t>
            </w:r>
            <w:r w:rsidRPr="00AE4D59">
              <w:rPr>
                <w:sz w:val="20"/>
              </w:rPr>
              <w:t xml:space="preserve">.2013г.). </w:t>
            </w:r>
            <w:r w:rsidR="00431AAC">
              <w:rPr>
                <w:sz w:val="20"/>
              </w:rPr>
              <w:t>При этом</w:t>
            </w:r>
            <w:r w:rsidRPr="00AE4D59">
              <w:rPr>
                <w:sz w:val="20"/>
              </w:rPr>
              <w:t xml:space="preserve"> сведения об </w:t>
            </w:r>
            <w:r w:rsidRPr="00EE1987">
              <w:rPr>
                <w:sz w:val="20"/>
              </w:rPr>
              <w:t>ООО «</w:t>
            </w:r>
            <w:proofErr w:type="spellStart"/>
            <w:r w:rsidRPr="00EE1987">
              <w:rPr>
                <w:sz w:val="20"/>
              </w:rPr>
              <w:t>Энерго</w:t>
            </w:r>
            <w:proofErr w:type="spellEnd"/>
            <w:r w:rsidRPr="00EE1987">
              <w:rPr>
                <w:sz w:val="20"/>
              </w:rPr>
              <w:t xml:space="preserve"> плюс»</w:t>
            </w:r>
            <w:r>
              <w:rPr>
                <w:sz w:val="20"/>
              </w:rPr>
              <w:t xml:space="preserve"> </w:t>
            </w:r>
            <w:r w:rsidRPr="00AE4D59">
              <w:rPr>
                <w:sz w:val="20"/>
              </w:rPr>
              <w:t xml:space="preserve">присутствуют в реестре субъектов МСП (что подтверждается информацией, содержащейся на сайте </w:t>
            </w:r>
            <w:hyperlink r:id="rId9" w:tgtFrame="_blank" w:history="1">
              <w:r w:rsidRPr="00AE4D59">
                <w:rPr>
                  <w:sz w:val="20"/>
                </w:rPr>
                <w:t>https://rmsp.nalog.ru/</w:t>
              </w:r>
            </w:hyperlink>
            <w:r w:rsidRPr="00AE4D59">
              <w:rPr>
                <w:sz w:val="20"/>
              </w:rPr>
              <w:t>).</w:t>
            </w:r>
            <w:r>
              <w:rPr>
                <w:sz w:val="20"/>
              </w:rPr>
              <w:t xml:space="preserve"> </w:t>
            </w:r>
          </w:p>
        </w:tc>
      </w:tr>
      <w:tr w:rsidR="002F0C97" w14:paraId="6CB00963" w14:textId="77777777" w:rsidTr="008646D9">
        <w:trPr>
          <w:trHeight w:val="264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3D10C69" w14:textId="0A87A896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5D60FA7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06F085F" w14:textId="72C8A776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EA0DFA2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  <w:tr w:rsidR="002F0C97" w14:paraId="49078FE9" w14:textId="77777777" w:rsidTr="008646D9">
        <w:trPr>
          <w:trHeight w:val="264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8651C5E" w14:textId="77777777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9FE104D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2C41EC2" w14:textId="43DC5873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К.А. Прохоров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8DCC892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  <w:tr w:rsidR="002F0C97" w14:paraId="5782580F" w14:textId="77777777" w:rsidTr="008646D9">
        <w:trPr>
          <w:trHeight w:val="1723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228B5AF" w14:textId="77777777" w:rsidR="002F0C97" w:rsidRDefault="002F0C97" w:rsidP="008646D9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858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ECEE4D3" w14:textId="007BED01" w:rsidR="002F0C97" w:rsidRDefault="002F0C97" w:rsidP="008646D9">
            <w:pPr>
              <w:widowControl w:val="0"/>
              <w:rPr>
                <w:snapToGrid w:val="0"/>
              </w:rPr>
            </w:pPr>
            <w:r w:rsidRPr="00163CF6">
              <w:rPr>
                <w:b/>
                <w:snapToGrid w:val="0"/>
              </w:rPr>
              <w:t>ИП Носков Александр Владимирович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05BAFA6" w14:textId="487299CC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5103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686E487F" w14:textId="7304D1B3" w:rsidR="002F0C97" w:rsidRDefault="002F0C97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Заявка </w:t>
            </w:r>
            <w:r w:rsidR="00431AAC" w:rsidRPr="00431AAC">
              <w:rPr>
                <w:sz w:val="20"/>
              </w:rPr>
              <w:t xml:space="preserve">ИП Носков Александр Владимирович </w:t>
            </w:r>
            <w:r>
              <w:rPr>
                <w:sz w:val="20"/>
              </w:rPr>
              <w:t xml:space="preserve">не соответствует требованиям </w:t>
            </w:r>
            <w:r w:rsidRPr="00DE2005">
              <w:rPr>
                <w:sz w:val="20"/>
              </w:rPr>
              <w:t>п.</w:t>
            </w:r>
            <w:r w:rsidR="005E2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14 документации о проведении открытого запроса ценовых котировок на право заключения договора </w:t>
            </w:r>
            <w:r w:rsidR="00EE1987" w:rsidRPr="00EE1987">
              <w:rPr>
                <w:sz w:val="20"/>
              </w:rPr>
              <w:t xml:space="preserve">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      </w:r>
            <w:proofErr w:type="spellStart"/>
            <w:r w:rsidR="00EE1987" w:rsidRPr="00EE1987">
              <w:rPr>
                <w:sz w:val="20"/>
              </w:rPr>
              <w:t>Выкатная-Цингалы</w:t>
            </w:r>
            <w:proofErr w:type="spellEnd"/>
            <w:r w:rsidR="00EE1987" w:rsidRPr="00EE1987">
              <w:rPr>
                <w:sz w:val="20"/>
              </w:rPr>
              <w:t xml:space="preserve"> с ПС 35 кВ в поселке </w:t>
            </w:r>
            <w:proofErr w:type="spellStart"/>
            <w:r w:rsidR="00EE1987" w:rsidRPr="00EE1987">
              <w:rPr>
                <w:sz w:val="20"/>
              </w:rPr>
              <w:t>Цингалы</w:t>
            </w:r>
            <w:proofErr w:type="spellEnd"/>
            <w:r w:rsidR="00EE1987" w:rsidRPr="00EE1987">
              <w:rPr>
                <w:sz w:val="20"/>
              </w:rPr>
              <w:t xml:space="preserve"> (инв. № 000007647) (реестровый номер: 198-2017)</w:t>
            </w:r>
            <w:r>
              <w:rPr>
                <w:sz w:val="20"/>
              </w:rPr>
              <w:t xml:space="preserve">: </w:t>
            </w:r>
          </w:p>
          <w:p w14:paraId="1BC38EA4" w14:textId="77777777" w:rsidR="004E4F66" w:rsidRDefault="004E4F66" w:rsidP="008646D9">
            <w:pPr>
              <w:widowControl w:val="0"/>
              <w:jc w:val="both"/>
              <w:rPr>
                <w:sz w:val="22"/>
              </w:rPr>
            </w:pPr>
            <w:r w:rsidRPr="00431AAC">
              <w:rPr>
                <w:sz w:val="20"/>
              </w:rPr>
              <w:t>Заявка подготовлена не по форме, указанной в Приложении № 1 к документации о проведении открытого запроса ценовых котировок – таблица, с Предложением участника, не соо</w:t>
            </w:r>
            <w:r w:rsidR="00431AAC">
              <w:rPr>
                <w:sz w:val="20"/>
              </w:rPr>
              <w:t>тветствует таблице, указанной в</w:t>
            </w:r>
            <w:r w:rsidRPr="00431AAC">
              <w:rPr>
                <w:sz w:val="20"/>
              </w:rPr>
              <w:t xml:space="preserve"> Приложении № 1 к документации о проведении открытого запроса ценовых котировок</w:t>
            </w:r>
            <w:r>
              <w:rPr>
                <w:sz w:val="22"/>
              </w:rPr>
              <w:t xml:space="preserve"> </w:t>
            </w:r>
          </w:p>
          <w:p w14:paraId="2A35B4E4" w14:textId="77777777" w:rsidR="00431AAC" w:rsidRDefault="00431AAC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Не приложена копия паспорта.</w:t>
            </w:r>
          </w:p>
          <w:p w14:paraId="57970407" w14:textId="47BD2098" w:rsidR="008D7179" w:rsidRDefault="008D7179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 уведомлении об исполнении обязательства по предоставлению с</w:t>
            </w:r>
            <w:r w:rsidRPr="008D7179">
              <w:rPr>
                <w:sz w:val="20"/>
              </w:rPr>
              <w:t>правк</w:t>
            </w:r>
            <w:r>
              <w:rPr>
                <w:sz w:val="20"/>
              </w:rPr>
              <w:t>и</w:t>
            </w:r>
            <w:r w:rsidRPr="008D7179">
              <w:rPr>
                <w:sz w:val="20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>
              <w:rPr>
                <w:sz w:val="20"/>
              </w:rPr>
              <w:t xml:space="preserve"> имеется ссылка на недействующий Приказ ФНС.</w:t>
            </w:r>
          </w:p>
        </w:tc>
      </w:tr>
      <w:tr w:rsidR="002F0C97" w14:paraId="51B070D4" w14:textId="77777777" w:rsidTr="008646D9">
        <w:trPr>
          <w:trHeight w:val="172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E791748" w14:textId="77777777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67F0B35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486E3C9" w14:textId="5B959DDC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5DD9BD7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  <w:tr w:rsidR="002F0C97" w14:paraId="3330805C" w14:textId="77777777" w:rsidTr="008646D9">
        <w:trPr>
          <w:trHeight w:val="1724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8E55A3E" w14:textId="77777777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C3E593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34B055B" w14:textId="1053D6CD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К.А. Прохоров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193C71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  <w:tr w:rsidR="002F0C97" w14:paraId="332439F7" w14:textId="77777777" w:rsidTr="008646D9">
        <w:trPr>
          <w:trHeight w:val="2643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30D4D16" w14:textId="26A8EDAD" w:rsidR="002F0C97" w:rsidRDefault="002F0C97" w:rsidP="008646D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58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5336BD" w14:textId="75C38F20" w:rsidR="002F0C97" w:rsidRDefault="002F0C97" w:rsidP="008646D9">
            <w:pPr>
              <w:widowControl w:val="0"/>
              <w:rPr>
                <w:snapToGrid w:val="0"/>
              </w:rPr>
            </w:pPr>
            <w:r w:rsidRPr="00163CF6">
              <w:rPr>
                <w:b/>
                <w:snapToGrid w:val="0"/>
              </w:rPr>
              <w:t>ООО «</w:t>
            </w:r>
            <w:proofErr w:type="spellStart"/>
            <w:r w:rsidRPr="00163CF6">
              <w:rPr>
                <w:b/>
                <w:snapToGrid w:val="0"/>
              </w:rPr>
              <w:t>ЭнтэрПроф</w:t>
            </w:r>
            <w:proofErr w:type="spellEnd"/>
            <w:r w:rsidRPr="00163CF6">
              <w:rPr>
                <w:b/>
                <w:snapToGrid w:val="0"/>
              </w:rPr>
              <w:t>»</w:t>
            </w: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6274B5A" w14:textId="15D5DC56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82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5103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6C828C51" w14:textId="4BB80AF4" w:rsidR="002F0C97" w:rsidRDefault="002F0C97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</w:t>
            </w:r>
            <w:r w:rsidR="00431AAC">
              <w:rPr>
                <w:sz w:val="20"/>
              </w:rPr>
              <w:t xml:space="preserve"> </w:t>
            </w:r>
            <w:r w:rsidR="00431AAC" w:rsidRPr="00431AAC">
              <w:rPr>
                <w:sz w:val="20"/>
              </w:rPr>
              <w:t>ООО</w:t>
            </w:r>
            <w:proofErr w:type="gramEnd"/>
            <w:r w:rsidR="00431AAC" w:rsidRPr="00431AAC">
              <w:rPr>
                <w:sz w:val="20"/>
              </w:rPr>
              <w:t xml:space="preserve"> «</w:t>
            </w:r>
            <w:proofErr w:type="spellStart"/>
            <w:r w:rsidR="00431AAC" w:rsidRPr="00431AAC">
              <w:rPr>
                <w:sz w:val="20"/>
              </w:rPr>
              <w:t>ЭнтэрПроф</w:t>
            </w:r>
            <w:proofErr w:type="spellEnd"/>
            <w:r w:rsidR="00431AAC" w:rsidRPr="00431AAC">
              <w:rPr>
                <w:sz w:val="20"/>
              </w:rPr>
              <w:t>»</w:t>
            </w:r>
            <w:r>
              <w:rPr>
                <w:sz w:val="20"/>
              </w:rPr>
              <w:t xml:space="preserve"> не соответствует требованиям </w:t>
            </w:r>
            <w:r w:rsidR="005E203E">
              <w:rPr>
                <w:sz w:val="20"/>
              </w:rPr>
              <w:t>п.</w:t>
            </w:r>
            <w:r>
              <w:rPr>
                <w:sz w:val="20"/>
              </w:rPr>
              <w:t xml:space="preserve"> 14 документации о проведении открытого запроса ценовых котировок на право заключения договора </w:t>
            </w:r>
            <w:r w:rsidR="00EE1987" w:rsidRPr="00EE1987">
              <w:rPr>
                <w:sz w:val="20"/>
              </w:rPr>
              <w:t xml:space="preserve">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      </w:r>
            <w:proofErr w:type="spellStart"/>
            <w:r w:rsidR="00EE1987" w:rsidRPr="00EE1987">
              <w:rPr>
                <w:sz w:val="20"/>
              </w:rPr>
              <w:t>Выкатная-Цингалы</w:t>
            </w:r>
            <w:proofErr w:type="spellEnd"/>
            <w:r w:rsidR="00EE1987" w:rsidRPr="00EE1987">
              <w:rPr>
                <w:sz w:val="20"/>
              </w:rPr>
              <w:t xml:space="preserve"> с ПС 35 кВ в поселке </w:t>
            </w:r>
            <w:proofErr w:type="spellStart"/>
            <w:r w:rsidR="00EE1987" w:rsidRPr="00EE1987">
              <w:rPr>
                <w:sz w:val="20"/>
              </w:rPr>
              <w:t>Цингалы</w:t>
            </w:r>
            <w:proofErr w:type="spellEnd"/>
            <w:r w:rsidR="00EE1987" w:rsidRPr="00EE1987">
              <w:rPr>
                <w:sz w:val="20"/>
              </w:rPr>
              <w:t xml:space="preserve"> (инв. № 000007647) (реестровый номер: 198-2017)</w:t>
            </w:r>
            <w:r>
              <w:rPr>
                <w:sz w:val="20"/>
              </w:rPr>
              <w:t xml:space="preserve">: </w:t>
            </w:r>
          </w:p>
          <w:p w14:paraId="0A6F3063" w14:textId="49B7AFA1" w:rsidR="00431AAC" w:rsidRDefault="00431AAC" w:rsidP="008646D9">
            <w:pPr>
              <w:widowControl w:val="0"/>
              <w:jc w:val="both"/>
              <w:rPr>
                <w:sz w:val="22"/>
              </w:rPr>
            </w:pPr>
            <w:r w:rsidRPr="00431AAC">
              <w:rPr>
                <w:sz w:val="20"/>
              </w:rPr>
              <w:t>Заявка подготовлена не по форме, указанной в Приложении № 1 к документации о проведении открытого запроса ценовых котировок – таблица, с Предложением участника, не соо</w:t>
            </w:r>
            <w:r>
              <w:rPr>
                <w:sz w:val="20"/>
              </w:rPr>
              <w:t>тветствует таблице, указанной в</w:t>
            </w:r>
            <w:r w:rsidRPr="00431AAC">
              <w:rPr>
                <w:sz w:val="20"/>
              </w:rPr>
              <w:t xml:space="preserve"> Приложении № 1 к документации о проведении открытого запроса ценовых котировок</w:t>
            </w:r>
            <w:r>
              <w:rPr>
                <w:sz w:val="22"/>
              </w:rPr>
              <w:t xml:space="preserve"> </w:t>
            </w:r>
          </w:p>
          <w:p w14:paraId="669FF2B2" w14:textId="4ACAFE3F" w:rsidR="00431AAC" w:rsidRDefault="00431AAC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об одобрении </w:t>
            </w:r>
            <w:r w:rsidR="00B2703E">
              <w:rPr>
                <w:sz w:val="20"/>
              </w:rPr>
              <w:t xml:space="preserve">крупной </w:t>
            </w:r>
            <w:r>
              <w:rPr>
                <w:sz w:val="20"/>
              </w:rPr>
              <w:t>сделки не соответствует т</w:t>
            </w:r>
            <w:r w:rsidRPr="0055326F">
              <w:rPr>
                <w:sz w:val="20"/>
              </w:rPr>
              <w:t>ребованиям, указанным в ст. 46 ФЗ</w:t>
            </w:r>
            <w:r>
              <w:rPr>
                <w:sz w:val="20"/>
              </w:rPr>
              <w:t xml:space="preserve"> «Об обществах с ограниченной ответственностью» - не указаны существенные условия сделки - сроки выполнения работ. Кроме того, не указаны стороны сделки.</w:t>
            </w:r>
          </w:p>
          <w:p w14:paraId="2F6686F0" w14:textId="35232286" w:rsidR="002F0C97" w:rsidRDefault="008D7179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Уведомление о невозможности предоставить документ содержит недостоверную информацию о том, что </w:t>
            </w:r>
            <w:r>
              <w:rPr>
                <w:sz w:val="20"/>
              </w:rPr>
              <w:lastRenderedPageBreak/>
              <w:t xml:space="preserve">участник не имеет возможности предоставить бухгалтерскую отчетность </w:t>
            </w:r>
            <w:r>
              <w:rPr>
                <w:sz w:val="20"/>
                <w:szCs w:val="22"/>
              </w:rPr>
              <w:t>(ф. 1-2)</w:t>
            </w:r>
            <w:r>
              <w:rPr>
                <w:sz w:val="20"/>
              </w:rPr>
              <w:t xml:space="preserve"> за последний отчетный период (участник зарегистрирован в ЕГРЮЛ 06.03.17г. </w:t>
            </w:r>
            <w:proofErr w:type="gramStart"/>
            <w:r>
              <w:rPr>
                <w:sz w:val="20"/>
              </w:rPr>
              <w:t>следовательно</w:t>
            </w:r>
            <w:proofErr w:type="gramEnd"/>
            <w:r>
              <w:rPr>
                <w:sz w:val="20"/>
              </w:rPr>
              <w:t xml:space="preserve"> у участника имеется возможность предоставить бухгалтерскую отчетность </w:t>
            </w:r>
            <w:r w:rsidRPr="002C4CA0">
              <w:rPr>
                <w:sz w:val="20"/>
                <w:szCs w:val="22"/>
              </w:rPr>
              <w:t xml:space="preserve">(ф. 1-2) </w:t>
            </w:r>
            <w:r w:rsidR="00E95456">
              <w:rPr>
                <w:sz w:val="20"/>
              </w:rPr>
              <w:t>за 2 кв. 2017г.</w:t>
            </w:r>
            <w:r>
              <w:rPr>
                <w:sz w:val="20"/>
              </w:rPr>
              <w:t>).</w:t>
            </w:r>
          </w:p>
          <w:p w14:paraId="674DEA59" w14:textId="729C3B50" w:rsidR="008D7179" w:rsidRDefault="008D7179" w:rsidP="008646D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В гарантийном письме о предоставлении с</w:t>
            </w:r>
            <w:r w:rsidRPr="008D7179">
              <w:rPr>
                <w:sz w:val="20"/>
              </w:rPr>
              <w:t>правк</w:t>
            </w:r>
            <w:r>
              <w:rPr>
                <w:sz w:val="20"/>
              </w:rPr>
              <w:t>и</w:t>
            </w:r>
            <w:r w:rsidRPr="008D7179">
              <w:rPr>
                <w:sz w:val="20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>
              <w:rPr>
                <w:sz w:val="20"/>
              </w:rPr>
              <w:t xml:space="preserve"> имеется ссылка на недействующий Приказ ФНС.</w:t>
            </w:r>
          </w:p>
        </w:tc>
      </w:tr>
      <w:tr w:rsidR="002F0C97" w14:paraId="7B887812" w14:textId="77777777" w:rsidTr="008646D9">
        <w:trPr>
          <w:trHeight w:val="264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FD08636" w14:textId="77777777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DB9720D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90A6F7F" w14:textId="16CD4325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641BB9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  <w:tr w:rsidR="002F0C97" w14:paraId="383860AF" w14:textId="77777777" w:rsidTr="008646D9">
        <w:trPr>
          <w:trHeight w:val="2643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D735203" w14:textId="77777777" w:rsidR="002F0C97" w:rsidRDefault="002F0C97" w:rsidP="008646D9">
            <w:pPr>
              <w:widowControl w:val="0"/>
            </w:pPr>
          </w:p>
        </w:tc>
        <w:tc>
          <w:tcPr>
            <w:tcW w:w="1858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C1E0027" w14:textId="77777777" w:rsidR="002F0C97" w:rsidRDefault="002F0C97" w:rsidP="008646D9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5F8A172" w14:textId="77777777" w:rsidR="002F0C97" w:rsidRDefault="002F0C97" w:rsidP="008646D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К.А. Прохоров</w:t>
            </w:r>
          </w:p>
        </w:tc>
        <w:tc>
          <w:tcPr>
            <w:tcW w:w="510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E5684FA" w14:textId="77777777" w:rsidR="002F0C97" w:rsidRDefault="002F0C97" w:rsidP="008646D9">
            <w:pPr>
              <w:widowControl w:val="0"/>
              <w:rPr>
                <w:sz w:val="20"/>
              </w:rPr>
            </w:pPr>
          </w:p>
        </w:tc>
      </w:tr>
    </w:tbl>
    <w:p w14:paraId="75CD7676" w14:textId="77777777" w:rsidR="002F0C97" w:rsidRDefault="002F0C97" w:rsidP="00EF443B">
      <w:pPr>
        <w:widowControl w:val="0"/>
        <w:ind w:left="720"/>
        <w:jc w:val="both"/>
        <w:rPr>
          <w:lang w:eastAsia="en-US"/>
        </w:rPr>
      </w:pPr>
    </w:p>
    <w:p w14:paraId="6EE034BB" w14:textId="0A7DA2D4" w:rsidR="00817C0B" w:rsidRDefault="00817C0B" w:rsidP="00817C0B">
      <w:pPr>
        <w:jc w:val="both"/>
      </w:pPr>
      <w:r>
        <w:t xml:space="preserve">Таким образом, к участию в </w:t>
      </w:r>
      <w:r w:rsidRPr="004C01A1">
        <w:t>открыто</w:t>
      </w:r>
      <w:r>
        <w:t>м</w:t>
      </w:r>
      <w:r w:rsidRPr="004C01A1">
        <w:t xml:space="preserve"> запрос</w:t>
      </w:r>
      <w:r>
        <w:t>е</w:t>
      </w:r>
      <w:r w:rsidRPr="004C01A1">
        <w:t xml:space="preserve"> ценовых котировок </w:t>
      </w:r>
      <w:r w:rsidRPr="004F2C8C">
        <w:t xml:space="preserve">на право заключения договора </w:t>
      </w:r>
      <w:r w:rsidRPr="008A12C9">
        <w:rPr>
          <w:rFonts w:eastAsiaTheme="minorHAnsi"/>
        </w:rPr>
        <w:t xml:space="preserve">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</w:r>
      <w:proofErr w:type="spellStart"/>
      <w:r w:rsidRPr="008A12C9">
        <w:rPr>
          <w:rFonts w:eastAsiaTheme="minorHAnsi"/>
        </w:rPr>
        <w:t>Выкатная-Цингалы</w:t>
      </w:r>
      <w:proofErr w:type="spellEnd"/>
      <w:r w:rsidRPr="008A12C9">
        <w:rPr>
          <w:rFonts w:eastAsiaTheme="minorHAnsi"/>
        </w:rPr>
        <w:t xml:space="preserve"> с ПС 35 кВ в поселке </w:t>
      </w:r>
      <w:proofErr w:type="spellStart"/>
      <w:r w:rsidRPr="008A12C9">
        <w:rPr>
          <w:rFonts w:eastAsiaTheme="minorHAnsi"/>
        </w:rPr>
        <w:t>Цингалы</w:t>
      </w:r>
      <w:proofErr w:type="spellEnd"/>
      <w:r w:rsidRPr="008A12C9">
        <w:rPr>
          <w:rFonts w:eastAsiaTheme="minorHAnsi"/>
        </w:rPr>
        <w:t xml:space="preserve"> (инв. № 000007647)</w:t>
      </w:r>
      <w:r w:rsidRPr="005D6C6D">
        <w:t xml:space="preserve"> (реестровый</w:t>
      </w:r>
      <w:r w:rsidRPr="00D60258">
        <w:t xml:space="preserve"> номер: 1</w:t>
      </w:r>
      <w:r>
        <w:t>98</w:t>
      </w:r>
      <w:r w:rsidRPr="00D60258">
        <w:t>-2017)</w:t>
      </w:r>
      <w:r>
        <w:t xml:space="preserve"> не допущен ни один участник.</w:t>
      </w:r>
    </w:p>
    <w:p w14:paraId="2A53E305" w14:textId="6FDD3BEC" w:rsidR="00817C0B" w:rsidRPr="009235F2" w:rsidRDefault="00817C0B" w:rsidP="00817C0B">
      <w:pPr>
        <w:widowControl w:val="0"/>
        <w:jc w:val="both"/>
      </w:pPr>
      <w:r w:rsidRPr="009235F2">
        <w:t>В соответствии с</w:t>
      </w:r>
      <w:r>
        <w:t xml:space="preserve"> </w:t>
      </w:r>
      <w:r w:rsidRPr="00650E05">
        <w:rPr>
          <w:lang w:eastAsia="en-US"/>
        </w:rPr>
        <w:t xml:space="preserve">п. </w:t>
      </w:r>
      <w:r>
        <w:rPr>
          <w:lang w:eastAsia="en-US"/>
        </w:rPr>
        <w:t>13</w:t>
      </w:r>
      <w:r w:rsidRPr="00650E05">
        <w:rPr>
          <w:lang w:eastAsia="en-US"/>
        </w:rPr>
        <w:t xml:space="preserve"> ст. 6</w:t>
      </w:r>
      <w:r>
        <w:rPr>
          <w:lang w:eastAsia="en-US"/>
        </w:rPr>
        <w:t>1</w:t>
      </w:r>
      <w:r w:rsidRPr="00E839A1">
        <w:rPr>
          <w:lang w:eastAsia="en-US"/>
        </w:rPr>
        <w:t xml:space="preserve"> Положения о порядке проведения регламентированных закупок товаров, работ, услуг в АО «Югорская региональная электросетевая компания»</w:t>
      </w:r>
      <w:r>
        <w:rPr>
          <w:lang w:eastAsia="en-US"/>
        </w:rPr>
        <w:t xml:space="preserve"> на голосование вынесен следующий вопрос: </w:t>
      </w:r>
      <w:r w:rsidRPr="004A16A5">
        <w:rPr>
          <w:b/>
          <w:i/>
          <w:lang w:eastAsia="en-US"/>
        </w:rPr>
        <w:t>«Провести повторно закупку</w:t>
      </w:r>
      <w:r>
        <w:rPr>
          <w:b/>
          <w:i/>
          <w:lang w:eastAsia="en-US"/>
        </w:rPr>
        <w:t xml:space="preserve"> </w:t>
      </w:r>
      <w:r w:rsidRPr="004F2C8C">
        <w:rPr>
          <w:b/>
          <w:i/>
          <w:lang w:eastAsia="en-US"/>
        </w:rPr>
        <w:t xml:space="preserve">на право заключения договора </w:t>
      </w:r>
      <w:r w:rsidRPr="00817C0B">
        <w:rPr>
          <w:b/>
          <w:i/>
          <w:lang w:eastAsia="en-US"/>
        </w:rPr>
        <w:t xml:space="preserve">подряда на выполнение работ по расчистке охранной зоны от древесно-кустарниковой растительности с утилизацией порубочных остатков на объекте: ВЛ-35 кВ </w:t>
      </w:r>
      <w:proofErr w:type="spellStart"/>
      <w:r w:rsidRPr="00817C0B">
        <w:rPr>
          <w:b/>
          <w:i/>
          <w:lang w:eastAsia="en-US"/>
        </w:rPr>
        <w:t>Выкатная-Цингалы</w:t>
      </w:r>
      <w:proofErr w:type="spellEnd"/>
      <w:r w:rsidRPr="00817C0B">
        <w:rPr>
          <w:b/>
          <w:i/>
          <w:lang w:eastAsia="en-US"/>
        </w:rPr>
        <w:t xml:space="preserve"> с ПС 35 кВ в поселке </w:t>
      </w:r>
      <w:proofErr w:type="spellStart"/>
      <w:r w:rsidRPr="00817C0B">
        <w:rPr>
          <w:b/>
          <w:i/>
          <w:lang w:eastAsia="en-US"/>
        </w:rPr>
        <w:t>Цингалы</w:t>
      </w:r>
      <w:proofErr w:type="spellEnd"/>
      <w:r w:rsidRPr="00817C0B">
        <w:rPr>
          <w:b/>
          <w:i/>
          <w:lang w:eastAsia="en-US"/>
        </w:rPr>
        <w:t xml:space="preserve"> (инв. № 000007647) (реестровый номер: 198-2017)</w:t>
      </w:r>
      <w:r>
        <w:rPr>
          <w:b/>
          <w:i/>
          <w:lang w:eastAsia="en-US"/>
        </w:rPr>
        <w:t xml:space="preserve"> путем проведения </w:t>
      </w:r>
      <w:r w:rsidRPr="005E59B9">
        <w:rPr>
          <w:b/>
          <w:i/>
          <w:lang w:eastAsia="en-US"/>
        </w:rPr>
        <w:t>открытого запроса ценовых котировок</w:t>
      </w:r>
      <w:r w:rsidRPr="004A16A5">
        <w:rPr>
          <w:b/>
          <w:i/>
          <w:lang w:eastAsia="en-US"/>
        </w:rPr>
        <w:t>. Центру ответственности, при необходимости, внести изменения в техническое задание</w:t>
      </w:r>
      <w:r>
        <w:rPr>
          <w:b/>
          <w:i/>
          <w:lang w:eastAsia="en-US"/>
        </w:rPr>
        <w:t xml:space="preserve"> и задание на закупку</w:t>
      </w:r>
      <w:r w:rsidRPr="004A16A5">
        <w:rPr>
          <w:b/>
          <w:i/>
          <w:lang w:eastAsia="en-US"/>
        </w:rPr>
        <w:t>»</w:t>
      </w:r>
      <w:r>
        <w:rPr>
          <w:lang w:eastAsia="en-US"/>
        </w:rPr>
        <w:t xml:space="preserve">. </w:t>
      </w:r>
    </w:p>
    <w:p w14:paraId="6F38FEAC" w14:textId="77777777" w:rsidR="00817C0B" w:rsidRDefault="00817C0B" w:rsidP="00817C0B">
      <w:pPr>
        <w:jc w:val="both"/>
      </w:pPr>
    </w:p>
    <w:p w14:paraId="788EEDBD" w14:textId="77777777" w:rsidR="00817C0B" w:rsidRPr="009235F2" w:rsidRDefault="00817C0B" w:rsidP="00817C0B">
      <w:pPr>
        <w:widowControl w:val="0"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1E43632C" w14:textId="77777777" w:rsidR="00817C0B" w:rsidRPr="009235F2" w:rsidRDefault="00817C0B" w:rsidP="00817C0B">
      <w:pPr>
        <w:widowControl w:val="0"/>
        <w:ind w:firstLine="708"/>
        <w:jc w:val="both"/>
        <w:rPr>
          <w:i/>
        </w:rPr>
      </w:pPr>
      <w:r w:rsidRPr="009235F2">
        <w:rPr>
          <w:i/>
        </w:rPr>
        <w:t xml:space="preserve"> «Против» - нет.</w:t>
      </w:r>
    </w:p>
    <w:p w14:paraId="1A405E09" w14:textId="77777777" w:rsidR="00817C0B" w:rsidRPr="008646D9" w:rsidRDefault="00817C0B" w:rsidP="00817C0B">
      <w:pPr>
        <w:widowControl w:val="0"/>
        <w:jc w:val="both"/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2C3B3772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EE4BEE">
        <w:rPr>
          <w:b/>
        </w:rPr>
        <w:t>30</w:t>
      </w:r>
      <w:r w:rsidR="005F7F3E" w:rsidRPr="005F7F3E">
        <w:rPr>
          <w:b/>
        </w:rPr>
        <w:t xml:space="preserve"> августа 2017 </w:t>
      </w:r>
      <w:r w:rsidRPr="005D6C6D">
        <w:rPr>
          <w:b/>
        </w:rPr>
        <w:t>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5441"/>
        <w:gridCol w:w="2464"/>
        <w:gridCol w:w="1842"/>
      </w:tblGrid>
      <w:tr w:rsidR="00E964F9" w:rsidRPr="00C5410F" w14:paraId="26BEE2AA" w14:textId="77777777" w:rsidTr="008E273D">
        <w:trPr>
          <w:trHeight w:val="568"/>
        </w:trPr>
        <w:tc>
          <w:tcPr>
            <w:tcW w:w="5441" w:type="dxa"/>
          </w:tcPr>
          <w:p w14:paraId="6D04C006" w14:textId="44BA89B1" w:rsidR="00FB4778" w:rsidRDefault="005F7F3E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 w:rsidR="005D6C6D">
              <w:rPr>
                <w:b/>
                <w:i/>
              </w:rPr>
              <w:t>л</w:t>
            </w:r>
            <w:r>
              <w:rPr>
                <w:b/>
                <w:i/>
              </w:rPr>
              <w:t>ь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464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39078164" w14:textId="7B679672" w:rsidR="00FE3BFA" w:rsidRPr="00C5410F" w:rsidRDefault="005F7F3E" w:rsidP="00683139">
            <w:pPr>
              <w:widowControl w:val="0"/>
            </w:pPr>
            <w:r w:rsidRPr="005F7F3E">
              <w:t>М.С. Козлов</w:t>
            </w:r>
            <w:r w:rsidRPr="00C5410F">
              <w:t xml:space="preserve"> </w:t>
            </w:r>
          </w:p>
        </w:tc>
        <w:tc>
          <w:tcPr>
            <w:tcW w:w="1842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8E273D">
        <w:trPr>
          <w:trHeight w:val="434"/>
        </w:trPr>
        <w:tc>
          <w:tcPr>
            <w:tcW w:w="5441" w:type="dxa"/>
          </w:tcPr>
          <w:p w14:paraId="43412657" w14:textId="77777777" w:rsidR="005F7F3E" w:rsidRDefault="005F7F3E" w:rsidP="00683139">
            <w:pPr>
              <w:widowControl w:val="0"/>
              <w:rPr>
                <w:b/>
                <w:i/>
              </w:rPr>
            </w:pPr>
          </w:p>
          <w:p w14:paraId="6FB7C51A" w14:textId="77777777" w:rsidR="00220B3F" w:rsidRDefault="00220B3F" w:rsidP="00683139">
            <w:pPr>
              <w:widowControl w:val="0"/>
              <w:rPr>
                <w:b/>
                <w:i/>
              </w:rPr>
            </w:pPr>
          </w:p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464" w:type="dxa"/>
          </w:tcPr>
          <w:p w14:paraId="1D1BAF47" w14:textId="09DBACA1" w:rsidR="00E964F9" w:rsidRDefault="00E964F9" w:rsidP="00683139">
            <w:pPr>
              <w:widowControl w:val="0"/>
            </w:pPr>
          </w:p>
          <w:p w14:paraId="255CAF24" w14:textId="77777777" w:rsidR="00220B3F" w:rsidRDefault="00220B3F" w:rsidP="00683139">
            <w:pPr>
              <w:widowControl w:val="0"/>
            </w:pPr>
          </w:p>
          <w:p w14:paraId="1EE84665" w14:textId="6A684DCB" w:rsidR="00FE3BFA" w:rsidRDefault="00163CF6" w:rsidP="00683139">
            <w:pPr>
              <w:widowControl w:val="0"/>
            </w:pPr>
            <w:r>
              <w:t>С.А. Шаршов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460C237F" w14:textId="41B772B6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8E273D">
        <w:trPr>
          <w:trHeight w:val="456"/>
        </w:trPr>
        <w:tc>
          <w:tcPr>
            <w:tcW w:w="5441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464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BBF093B" w14:textId="5ED03FFA" w:rsidR="0050718C" w:rsidRDefault="00163CF6" w:rsidP="00683139">
            <w:pPr>
              <w:widowControl w:val="0"/>
            </w:pPr>
            <w:r>
              <w:t>К.А. Прохоров</w:t>
            </w:r>
          </w:p>
          <w:p w14:paraId="033725A6" w14:textId="4E0CBD03" w:rsidR="0050718C" w:rsidRDefault="0050718C" w:rsidP="00683139">
            <w:pPr>
              <w:widowControl w:val="0"/>
            </w:pPr>
          </w:p>
        </w:tc>
        <w:tc>
          <w:tcPr>
            <w:tcW w:w="1842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8E273D">
        <w:trPr>
          <w:trHeight w:val="573"/>
        </w:trPr>
        <w:tc>
          <w:tcPr>
            <w:tcW w:w="5441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464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053522A6" w:rsidR="00E964F9" w:rsidRDefault="005F7F3E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1842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8646D9">
      <w:pgSz w:w="11906" w:h="16838"/>
      <w:pgMar w:top="851" w:right="851" w:bottom="56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757A7" w14:textId="77777777" w:rsidR="005E2E33" w:rsidRDefault="005E2E33" w:rsidP="00D20D0B">
      <w:r>
        <w:separator/>
      </w:r>
    </w:p>
  </w:endnote>
  <w:endnote w:type="continuationSeparator" w:id="0">
    <w:p w14:paraId="2C7A7510" w14:textId="77777777" w:rsidR="005E2E33" w:rsidRDefault="005E2E33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C073" w14:textId="77777777" w:rsidR="005E2E33" w:rsidRDefault="005E2E33" w:rsidP="00D20D0B">
      <w:r>
        <w:separator/>
      </w:r>
    </w:p>
  </w:footnote>
  <w:footnote w:type="continuationSeparator" w:id="0">
    <w:p w14:paraId="55DBB481" w14:textId="77777777" w:rsidR="005E2E33" w:rsidRDefault="005E2E33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67DD0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6"/>
  </w:num>
  <w:num w:numId="8">
    <w:abstractNumId w:val="13"/>
  </w:num>
  <w:num w:numId="9">
    <w:abstractNumId w:val="29"/>
  </w:num>
  <w:num w:numId="10">
    <w:abstractNumId w:val="35"/>
  </w:num>
  <w:num w:numId="11">
    <w:abstractNumId w:val="34"/>
  </w:num>
  <w:num w:numId="12">
    <w:abstractNumId w:val="26"/>
  </w:num>
  <w:num w:numId="13">
    <w:abstractNumId w:val="25"/>
  </w:num>
  <w:num w:numId="14">
    <w:abstractNumId w:val="33"/>
  </w:num>
  <w:num w:numId="15">
    <w:abstractNumId w:val="15"/>
  </w:num>
  <w:num w:numId="16">
    <w:abstractNumId w:val="30"/>
  </w:num>
  <w:num w:numId="17">
    <w:abstractNumId w:val="6"/>
  </w:num>
  <w:num w:numId="18">
    <w:abstractNumId w:val="18"/>
  </w:num>
  <w:num w:numId="19">
    <w:abstractNumId w:val="19"/>
  </w:num>
  <w:num w:numId="20">
    <w:abstractNumId w:val="27"/>
  </w:num>
  <w:num w:numId="21">
    <w:abstractNumId w:val="10"/>
  </w:num>
  <w:num w:numId="22">
    <w:abstractNumId w:val="5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8"/>
  </w:num>
  <w:num w:numId="28">
    <w:abstractNumId w:val="36"/>
  </w:num>
  <w:num w:numId="29">
    <w:abstractNumId w:val="32"/>
  </w:num>
  <w:num w:numId="30">
    <w:abstractNumId w:val="12"/>
  </w:num>
  <w:num w:numId="31">
    <w:abstractNumId w:val="1"/>
  </w:num>
  <w:num w:numId="32">
    <w:abstractNumId w:val="2"/>
  </w:num>
  <w:num w:numId="33">
    <w:abstractNumId w:val="9"/>
  </w:num>
  <w:num w:numId="34">
    <w:abstractNumId w:val="0"/>
  </w:num>
  <w:num w:numId="35">
    <w:abstractNumId w:val="17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5D41"/>
    <w:rsid w:val="000979E5"/>
    <w:rsid w:val="00097D0C"/>
    <w:rsid w:val="00097E08"/>
    <w:rsid w:val="000A0E20"/>
    <w:rsid w:val="000A5C29"/>
    <w:rsid w:val="000B0923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3CF6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2BF2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0B3F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1ED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C5A77"/>
    <w:rsid w:val="002D0FEB"/>
    <w:rsid w:val="002D1621"/>
    <w:rsid w:val="002D2AE0"/>
    <w:rsid w:val="002D42C7"/>
    <w:rsid w:val="002D60A4"/>
    <w:rsid w:val="002D6314"/>
    <w:rsid w:val="002D7042"/>
    <w:rsid w:val="002E2A96"/>
    <w:rsid w:val="002E2D37"/>
    <w:rsid w:val="002F0574"/>
    <w:rsid w:val="002F0999"/>
    <w:rsid w:val="002F0C97"/>
    <w:rsid w:val="002F72CF"/>
    <w:rsid w:val="00302889"/>
    <w:rsid w:val="003060E4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14E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3621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5F83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1AAC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1711"/>
    <w:rsid w:val="00473910"/>
    <w:rsid w:val="004746A1"/>
    <w:rsid w:val="00476DC1"/>
    <w:rsid w:val="00480A9B"/>
    <w:rsid w:val="004821BE"/>
    <w:rsid w:val="004851B2"/>
    <w:rsid w:val="00485586"/>
    <w:rsid w:val="0048612E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1D61"/>
    <w:rsid w:val="004D319C"/>
    <w:rsid w:val="004D51FD"/>
    <w:rsid w:val="004E003D"/>
    <w:rsid w:val="004E0C78"/>
    <w:rsid w:val="004E2010"/>
    <w:rsid w:val="004E3F05"/>
    <w:rsid w:val="004E47FA"/>
    <w:rsid w:val="004E4F66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26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D79CA"/>
    <w:rsid w:val="005E12C6"/>
    <w:rsid w:val="005E203E"/>
    <w:rsid w:val="005E2E33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5F7F3E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186B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1E14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5D1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1E8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52D"/>
    <w:rsid w:val="007B5DFF"/>
    <w:rsid w:val="007B634C"/>
    <w:rsid w:val="007B6A25"/>
    <w:rsid w:val="007C5DF3"/>
    <w:rsid w:val="007D0695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C0B"/>
    <w:rsid w:val="00817D54"/>
    <w:rsid w:val="008203D4"/>
    <w:rsid w:val="00820E73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46D9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12C9"/>
    <w:rsid w:val="008A270D"/>
    <w:rsid w:val="008A788B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179"/>
    <w:rsid w:val="008D73F2"/>
    <w:rsid w:val="008E0CBD"/>
    <w:rsid w:val="008E17CC"/>
    <w:rsid w:val="008E273D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5804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3E1C"/>
    <w:rsid w:val="00A14A9B"/>
    <w:rsid w:val="00A15E2D"/>
    <w:rsid w:val="00A16E6B"/>
    <w:rsid w:val="00A20462"/>
    <w:rsid w:val="00A20FE7"/>
    <w:rsid w:val="00A25098"/>
    <w:rsid w:val="00A313EC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E4D59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2703E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2C06"/>
    <w:rsid w:val="00B767AD"/>
    <w:rsid w:val="00B83579"/>
    <w:rsid w:val="00B84DFE"/>
    <w:rsid w:val="00B851E5"/>
    <w:rsid w:val="00B860B0"/>
    <w:rsid w:val="00B86702"/>
    <w:rsid w:val="00B86E22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6334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539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3C"/>
    <w:rsid w:val="00C90840"/>
    <w:rsid w:val="00C92754"/>
    <w:rsid w:val="00CA00BE"/>
    <w:rsid w:val="00CA1825"/>
    <w:rsid w:val="00CA25BC"/>
    <w:rsid w:val="00CA301C"/>
    <w:rsid w:val="00CA4084"/>
    <w:rsid w:val="00CA4FD2"/>
    <w:rsid w:val="00CA6166"/>
    <w:rsid w:val="00CB0BCA"/>
    <w:rsid w:val="00CB1EE0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74C"/>
    <w:rsid w:val="00DE2BE4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58C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5456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1987"/>
    <w:rsid w:val="00EE451F"/>
    <w:rsid w:val="00EE4BEE"/>
    <w:rsid w:val="00EE4F57"/>
    <w:rsid w:val="00EE5A7E"/>
    <w:rsid w:val="00EE5C1F"/>
    <w:rsid w:val="00EE6B83"/>
    <w:rsid w:val="00EE70B3"/>
    <w:rsid w:val="00EE70E5"/>
    <w:rsid w:val="00EE7104"/>
    <w:rsid w:val="00EF2016"/>
    <w:rsid w:val="00EF443B"/>
    <w:rsid w:val="00EF6FDA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16FE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F454-4634-4D4C-A3D1-61575653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12245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3</cp:revision>
  <cp:lastPrinted>2017-04-28T11:39:00Z</cp:lastPrinted>
  <dcterms:created xsi:type="dcterms:W3CDTF">2017-08-31T12:00:00Z</dcterms:created>
  <dcterms:modified xsi:type="dcterms:W3CDTF">2017-08-31T12:01:00Z</dcterms:modified>
</cp:coreProperties>
</file>